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23563" w14:textId="213EF40F" w:rsidR="0042221F" w:rsidRDefault="0042221F">
      <w:pPr>
        <w:spacing w:beforeLines="50" w:before="156" w:afterLines="50" w:after="156"/>
        <w:jc w:val="center"/>
        <w:rPr>
          <w:rFonts w:ascii="黑体" w:eastAsia="黑体" w:hAnsi="黑体" w:cs="Arial"/>
          <w:b/>
          <w:sz w:val="44"/>
          <w:szCs w:val="44"/>
          <w:shd w:val="clear" w:color="auto" w:fill="FFFFFF"/>
        </w:rPr>
      </w:pPr>
    </w:p>
    <w:p w14:paraId="0725A7F0" w14:textId="4AA8566A" w:rsidR="0042221F" w:rsidRDefault="0042221F">
      <w:pPr>
        <w:spacing w:beforeLines="50" w:before="156" w:afterLines="50" w:after="156"/>
        <w:jc w:val="center"/>
        <w:rPr>
          <w:rFonts w:ascii="黑体" w:eastAsia="黑体" w:hAnsi="黑体" w:cs="Arial"/>
          <w:b/>
          <w:sz w:val="44"/>
          <w:szCs w:val="44"/>
          <w:shd w:val="clear" w:color="auto" w:fill="FFFFFF"/>
        </w:rPr>
      </w:pPr>
    </w:p>
    <w:p w14:paraId="3707EB23" w14:textId="45D47442" w:rsidR="0042221F" w:rsidRDefault="0042221F">
      <w:pPr>
        <w:spacing w:beforeLines="50" w:before="156" w:afterLines="50" w:after="156"/>
        <w:jc w:val="center"/>
        <w:rPr>
          <w:rFonts w:ascii="黑体" w:eastAsia="黑体" w:hAnsi="黑体" w:cs="Arial"/>
          <w:b/>
          <w:sz w:val="44"/>
          <w:szCs w:val="44"/>
          <w:shd w:val="clear" w:color="auto" w:fill="FFFFFF"/>
        </w:rPr>
      </w:pPr>
    </w:p>
    <w:p w14:paraId="027CD9F4" w14:textId="0AC20E2E" w:rsidR="0042221F" w:rsidRDefault="0042221F">
      <w:pPr>
        <w:spacing w:beforeLines="50" w:before="156" w:afterLines="50" w:after="156"/>
        <w:jc w:val="center"/>
        <w:rPr>
          <w:rFonts w:ascii="黑体" w:eastAsia="黑体" w:hAnsi="黑体" w:cs="Arial"/>
          <w:b/>
          <w:sz w:val="44"/>
          <w:szCs w:val="44"/>
          <w:shd w:val="clear" w:color="auto" w:fill="FFFFFF"/>
        </w:rPr>
      </w:pPr>
    </w:p>
    <w:p w14:paraId="51A6B874" w14:textId="36C7E31E" w:rsidR="0042221F" w:rsidRDefault="0042221F">
      <w:pPr>
        <w:spacing w:beforeLines="50" w:before="156" w:afterLines="50" w:after="156"/>
        <w:jc w:val="center"/>
        <w:rPr>
          <w:rFonts w:ascii="黑体" w:eastAsia="黑体" w:hAnsi="黑体" w:cs="Arial"/>
          <w:b/>
          <w:sz w:val="44"/>
          <w:szCs w:val="44"/>
          <w:shd w:val="clear" w:color="auto" w:fill="FFFFFF"/>
        </w:rPr>
      </w:pPr>
      <w:r>
        <w:rPr>
          <w:rFonts w:ascii="黑体" w:eastAsia="黑体" w:hAnsi="黑体" w:cs="Arial" w:hint="eastAsia"/>
          <w:b/>
          <w:sz w:val="44"/>
          <w:szCs w:val="44"/>
          <w:shd w:val="clear" w:color="auto" w:fill="FFFFFF"/>
        </w:rPr>
        <w:t>倍加洁集团股份有限公司</w:t>
      </w:r>
    </w:p>
    <w:p w14:paraId="2D60BA02" w14:textId="72CCBCD5" w:rsidR="0042221F" w:rsidRDefault="0042221F">
      <w:pPr>
        <w:spacing w:beforeLines="50" w:before="156" w:afterLines="50" w:after="156"/>
        <w:jc w:val="center"/>
        <w:rPr>
          <w:rFonts w:ascii="黑体" w:eastAsia="黑体" w:hAnsi="黑体" w:cs="Arial"/>
          <w:b/>
          <w:sz w:val="44"/>
          <w:szCs w:val="44"/>
          <w:shd w:val="clear" w:color="auto" w:fill="FFFFFF"/>
        </w:rPr>
      </w:pPr>
    </w:p>
    <w:p w14:paraId="33753CFA" w14:textId="33B11791" w:rsidR="0042221F" w:rsidRDefault="0042221F">
      <w:pPr>
        <w:spacing w:beforeLines="50" w:before="156" w:afterLines="50" w:after="156"/>
        <w:jc w:val="center"/>
        <w:rPr>
          <w:rFonts w:ascii="黑体" w:eastAsia="黑体" w:hAnsi="黑体" w:cs="Arial"/>
          <w:b/>
          <w:sz w:val="44"/>
          <w:szCs w:val="44"/>
          <w:shd w:val="clear" w:color="auto" w:fill="FFFFFF"/>
        </w:rPr>
      </w:pPr>
    </w:p>
    <w:p w14:paraId="2BE1D9DD" w14:textId="126FB201" w:rsidR="0042221F" w:rsidRDefault="0042221F">
      <w:pPr>
        <w:spacing w:beforeLines="50" w:before="156" w:afterLines="50" w:after="156"/>
        <w:jc w:val="center"/>
        <w:rPr>
          <w:rFonts w:ascii="黑体" w:eastAsia="黑体" w:hAnsi="黑体" w:cs="Arial"/>
          <w:b/>
          <w:sz w:val="44"/>
          <w:szCs w:val="44"/>
          <w:shd w:val="clear" w:color="auto" w:fill="FFFFFF"/>
        </w:rPr>
      </w:pPr>
    </w:p>
    <w:p w14:paraId="620C851C" w14:textId="155B7E95" w:rsidR="0042221F" w:rsidRDefault="0042221F">
      <w:pPr>
        <w:spacing w:beforeLines="50" w:before="156" w:afterLines="50" w:after="156"/>
        <w:jc w:val="center"/>
        <w:rPr>
          <w:rFonts w:ascii="黑体" w:eastAsia="黑体" w:hAnsi="黑体" w:cs="Arial"/>
          <w:b/>
          <w:sz w:val="44"/>
          <w:szCs w:val="44"/>
          <w:shd w:val="clear" w:color="auto" w:fill="FFFFFF"/>
        </w:rPr>
      </w:pPr>
    </w:p>
    <w:p w14:paraId="7213D3D2" w14:textId="172E79E6" w:rsidR="0042221F" w:rsidRDefault="0042221F">
      <w:pPr>
        <w:spacing w:beforeLines="50" w:before="156" w:afterLines="50" w:after="156"/>
        <w:jc w:val="center"/>
        <w:rPr>
          <w:rFonts w:ascii="黑体" w:eastAsia="黑体" w:hAnsi="黑体" w:cs="Arial"/>
          <w:b/>
          <w:sz w:val="44"/>
          <w:szCs w:val="44"/>
          <w:shd w:val="clear" w:color="auto" w:fill="FFFFFF"/>
        </w:rPr>
      </w:pPr>
      <w:r>
        <w:rPr>
          <w:rFonts w:ascii="黑体" w:eastAsia="黑体" w:hAnsi="黑体" w:cs="Arial" w:hint="eastAsia"/>
          <w:b/>
          <w:sz w:val="44"/>
          <w:szCs w:val="44"/>
          <w:shd w:val="clear" w:color="auto" w:fill="FFFFFF"/>
        </w:rPr>
        <w:t>董事、高级管理人员离职管理制度</w:t>
      </w:r>
    </w:p>
    <w:p w14:paraId="6D072EA4" w14:textId="47952B5C" w:rsidR="0042221F" w:rsidRDefault="0042221F">
      <w:pPr>
        <w:spacing w:beforeLines="50" w:before="156" w:afterLines="50" w:after="156"/>
        <w:jc w:val="center"/>
        <w:rPr>
          <w:rFonts w:ascii="黑体" w:eastAsia="黑体" w:hAnsi="黑体" w:cs="Arial"/>
          <w:b/>
          <w:sz w:val="44"/>
          <w:szCs w:val="44"/>
          <w:shd w:val="clear" w:color="auto" w:fill="FFFFFF"/>
        </w:rPr>
      </w:pPr>
    </w:p>
    <w:p w14:paraId="40AD43E9" w14:textId="5213132A" w:rsidR="0042221F" w:rsidRDefault="0042221F">
      <w:pPr>
        <w:spacing w:beforeLines="50" w:before="156" w:afterLines="50" w:after="156"/>
        <w:jc w:val="center"/>
        <w:rPr>
          <w:rFonts w:ascii="黑体" w:eastAsia="黑体" w:hAnsi="黑体" w:cs="Arial"/>
          <w:b/>
          <w:sz w:val="44"/>
          <w:szCs w:val="44"/>
          <w:shd w:val="clear" w:color="auto" w:fill="FFFFFF"/>
        </w:rPr>
      </w:pPr>
    </w:p>
    <w:p w14:paraId="40D32413" w14:textId="7F1BC35E" w:rsidR="0042221F" w:rsidRDefault="0042221F">
      <w:pPr>
        <w:spacing w:beforeLines="50" w:before="156" w:afterLines="50" w:after="156"/>
        <w:jc w:val="center"/>
        <w:rPr>
          <w:rFonts w:ascii="黑体" w:eastAsia="黑体" w:hAnsi="黑体" w:cs="Arial"/>
          <w:b/>
          <w:sz w:val="44"/>
          <w:szCs w:val="44"/>
          <w:shd w:val="clear" w:color="auto" w:fill="FFFFFF"/>
        </w:rPr>
      </w:pPr>
    </w:p>
    <w:p w14:paraId="6722DE83" w14:textId="3FBF410D" w:rsidR="0042221F" w:rsidRDefault="0042221F">
      <w:pPr>
        <w:spacing w:beforeLines="50" w:before="156" w:afterLines="50" w:after="156"/>
        <w:jc w:val="center"/>
        <w:rPr>
          <w:rFonts w:ascii="黑体" w:eastAsia="黑体" w:hAnsi="黑体" w:cs="Arial"/>
          <w:b/>
          <w:sz w:val="44"/>
          <w:szCs w:val="44"/>
          <w:shd w:val="clear" w:color="auto" w:fill="FFFFFF"/>
        </w:rPr>
      </w:pPr>
    </w:p>
    <w:p w14:paraId="272F540F" w14:textId="33B4E138" w:rsidR="0042221F" w:rsidRDefault="0042221F">
      <w:pPr>
        <w:spacing w:beforeLines="50" w:before="156" w:afterLines="50" w:after="156"/>
        <w:jc w:val="center"/>
        <w:rPr>
          <w:rFonts w:ascii="黑体" w:eastAsia="黑体" w:hAnsi="黑体" w:cs="Arial"/>
          <w:b/>
          <w:sz w:val="44"/>
          <w:szCs w:val="44"/>
          <w:shd w:val="clear" w:color="auto" w:fill="FFFFFF"/>
        </w:rPr>
      </w:pPr>
    </w:p>
    <w:p w14:paraId="3D30FA5C" w14:textId="1B016D2C" w:rsidR="0042221F" w:rsidRDefault="0042221F">
      <w:pPr>
        <w:spacing w:beforeLines="50" w:before="156" w:afterLines="50" w:after="156"/>
        <w:jc w:val="center"/>
        <w:rPr>
          <w:rFonts w:ascii="黑体" w:eastAsia="黑体" w:hAnsi="黑体" w:cs="Arial"/>
          <w:b/>
          <w:sz w:val="44"/>
          <w:szCs w:val="44"/>
          <w:shd w:val="clear" w:color="auto" w:fill="FFFFFF"/>
        </w:rPr>
      </w:pPr>
    </w:p>
    <w:p w14:paraId="20C5EAFB" w14:textId="614BDB1B" w:rsidR="0042221F" w:rsidRPr="0042221F" w:rsidRDefault="0042221F">
      <w:pPr>
        <w:spacing w:beforeLines="50" w:before="156" w:afterLines="50" w:after="156"/>
        <w:jc w:val="center"/>
        <w:rPr>
          <w:rFonts w:ascii="黑体" w:eastAsia="黑体" w:hAnsi="黑体" w:cs="Arial"/>
          <w:b/>
          <w:sz w:val="28"/>
          <w:szCs w:val="28"/>
          <w:shd w:val="clear" w:color="auto" w:fill="FFFFFF"/>
        </w:rPr>
      </w:pPr>
      <w:r w:rsidRPr="0042221F">
        <w:rPr>
          <w:rFonts w:ascii="黑体" w:eastAsia="黑体" w:hAnsi="黑体" w:cs="Arial" w:hint="eastAsia"/>
          <w:b/>
          <w:sz w:val="28"/>
          <w:szCs w:val="28"/>
          <w:shd w:val="clear" w:color="auto" w:fill="FFFFFF"/>
        </w:rPr>
        <w:t>二零二五年八月</w:t>
      </w:r>
    </w:p>
    <w:p w14:paraId="5FC133D0" w14:textId="62A5CC47" w:rsidR="00FF7BD0" w:rsidRDefault="00FF7BD0">
      <w:pPr>
        <w:widowControl/>
        <w:jc w:val="left"/>
        <w:rPr>
          <w:rFonts w:asciiTheme="majorEastAsia" w:eastAsiaTheme="majorEastAsia" w:hAnsiTheme="majorEastAsia" w:cs="Arial"/>
          <w:b/>
          <w:sz w:val="32"/>
          <w:szCs w:val="32"/>
          <w:shd w:val="clear" w:color="auto" w:fill="FFFFFF"/>
        </w:rPr>
        <w:sectPr w:rsidR="00FF7BD0">
          <w:headerReference w:type="default" r:id="rId7"/>
          <w:footerReference w:type="default" r:id="rId8"/>
          <w:pgSz w:w="11906" w:h="16838"/>
          <w:pgMar w:top="1440" w:right="1800" w:bottom="1440" w:left="1800" w:header="851" w:footer="992" w:gutter="0"/>
          <w:cols w:space="425"/>
          <w:docGrid w:type="lines" w:linePitch="312"/>
        </w:sectPr>
      </w:pPr>
      <w:bookmarkStart w:id="0" w:name="_GoBack"/>
      <w:bookmarkEnd w:id="0"/>
    </w:p>
    <w:p w14:paraId="24714F3B" w14:textId="77777777" w:rsidR="00181DD9" w:rsidRDefault="00DE74C9">
      <w:pPr>
        <w:pStyle w:val="a3"/>
        <w:widowControl/>
        <w:spacing w:before="120" w:beforeAutospacing="0" w:after="120" w:afterAutospacing="0" w:line="360" w:lineRule="auto"/>
        <w:jc w:val="center"/>
        <w:outlineLvl w:val="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lastRenderedPageBreak/>
        <w:t>第一章 总则</w:t>
      </w:r>
    </w:p>
    <w:p w14:paraId="3E32E0A9" w14:textId="221234C9"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为规范倍加洁集团股份有限公司（以下简称“公司”</w:t>
      </w:r>
      <w:r w:rsidR="009C24FF">
        <w:rPr>
          <w:rFonts w:ascii="宋体" w:eastAsia="宋体" w:hAnsi="宋体" w:cs="宋体" w:hint="eastAsia"/>
          <w:color w:val="000000" w:themeColor="text1"/>
        </w:rPr>
        <w:t>或“本公司”</w:t>
      </w:r>
      <w:r>
        <w:rPr>
          <w:rFonts w:ascii="宋体" w:eastAsia="宋体" w:hAnsi="宋体" w:cs="宋体" w:hint="eastAsia"/>
          <w:color w:val="000000" w:themeColor="text1"/>
        </w:rPr>
        <w:t>）董事、高级管理人员离职相关事宜，确保公司治理结构的稳定性和连续性，维护公司及股东的合法权益，根据《中华人民共和国公司法》（以下简称“《公司法》”）等法律法规、规范性文件及《倍加洁集团股份有限公司章程》（以下简称“《公司章程》”）的有关规定，结合公司实际情况，制定本制度。</w:t>
      </w:r>
    </w:p>
    <w:p w14:paraId="1461DE70"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本制度适用于公司董事（含独立董事）、高级管理人员的辞任、任期届满、解任以及其他导致董事、高级管理人员实际离职等情形。</w:t>
      </w:r>
    </w:p>
    <w:p w14:paraId="3F73DBFD" w14:textId="77777777" w:rsidR="00181DD9" w:rsidRDefault="00DE74C9">
      <w:pPr>
        <w:pStyle w:val="a3"/>
        <w:widowControl/>
        <w:spacing w:before="120" w:beforeAutospacing="0" w:after="120" w:afterAutospacing="0" w:line="360" w:lineRule="auto"/>
        <w:jc w:val="center"/>
        <w:outlineLvl w:val="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第二章 离职情形与程序</w:t>
      </w:r>
    </w:p>
    <w:p w14:paraId="0660ACD4"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公司董事可以在任期届满以前辞任，董事辞任应向公司董事会提交书面辞职报告，公司收到辞职报告之日辞任生效，公司将在两个交易日内披露有关情况。</w:t>
      </w:r>
    </w:p>
    <w:p w14:paraId="7DC21A40"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如存在以下情形的，在改选出的董事就任前，原董事仍应当依照法律、行政法规、部门规章和《公司章程》的规定，继续履行董事职责，但存在相关法规另有规定的除外：</w:t>
      </w:r>
    </w:p>
    <w:p w14:paraId="5125887A"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（一）董事任期届满未及时改选，或者董事在任期内辞任导致董事会成员低于法定最低人数；</w:t>
      </w:r>
    </w:p>
    <w:p w14:paraId="32769929"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（二）审计委员会成员辞任导致审计委员会成员低于法定最低人数，或者欠缺担任召集人的会计专业人士；</w:t>
      </w:r>
    </w:p>
    <w:p w14:paraId="65450405"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（三）独立董事辞任导致董事会或者其专门委员会中独立董事所占比例不符合法律法规或者《公司章程》规定，或者独立董事中欠缺会计专业人士。</w:t>
      </w:r>
    </w:p>
    <w:p w14:paraId="1983EF96"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董事提出辞任的，公司应当在60日内完成补选，确保董事会及其专门委员会构成符合法律、行政法规和《公司章程》的规定。</w:t>
      </w:r>
    </w:p>
    <w:p w14:paraId="7EE6BEB6" w14:textId="069CD2A1"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非职工代表董事由股东会选举和更换，职工代表董事由职工代表大会</w:t>
      </w:r>
      <w:r w:rsidR="00772AAE">
        <w:rPr>
          <w:rFonts w:ascii="宋体" w:eastAsia="宋体" w:hAnsi="宋体" w:cs="宋体" w:hint="eastAsia"/>
          <w:color w:val="000000" w:themeColor="text1"/>
        </w:rPr>
        <w:t>、职工大会或其他形式民主</w:t>
      </w:r>
      <w:r>
        <w:rPr>
          <w:rFonts w:ascii="宋体" w:eastAsia="宋体" w:hAnsi="宋体" w:cs="宋体" w:hint="eastAsia"/>
          <w:color w:val="000000" w:themeColor="text1"/>
        </w:rPr>
        <w:t>选举和更换。非职工代表董事任期届满未获连任的，</w:t>
      </w:r>
      <w:r>
        <w:rPr>
          <w:rFonts w:ascii="宋体" w:eastAsia="宋体" w:hAnsi="宋体" w:cs="宋体" w:hint="eastAsia"/>
          <w:color w:val="000000" w:themeColor="text1"/>
        </w:rPr>
        <w:lastRenderedPageBreak/>
        <w:t>自相关股东会决议通过之日自动离职，职工代表董事任期届满未获连任的，自相关职工代表大会</w:t>
      </w:r>
      <w:r w:rsidR="00772AAE">
        <w:rPr>
          <w:rFonts w:ascii="宋体" w:eastAsia="宋体" w:hAnsi="宋体" w:cs="宋体" w:hint="eastAsia"/>
          <w:color w:val="000000" w:themeColor="text1"/>
        </w:rPr>
        <w:t>、职工大会或其他形式民主会议</w:t>
      </w:r>
      <w:r>
        <w:rPr>
          <w:rFonts w:ascii="宋体" w:eastAsia="宋体" w:hAnsi="宋体" w:cs="宋体" w:hint="eastAsia"/>
          <w:color w:val="000000" w:themeColor="text1"/>
        </w:rPr>
        <w:t>决议通过之日自动离职。</w:t>
      </w:r>
    </w:p>
    <w:p w14:paraId="6C7003FB"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董事任期届满未及时改选，在改选出的董事就任前，原董事仍应当依照法律、行政法规和《公司章程》的规定，履行董事职务。</w:t>
      </w:r>
    </w:p>
    <w:p w14:paraId="50F35866" w14:textId="6578B084"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股东会可以决议解任董事（职工代表董事由职工代表大会</w:t>
      </w:r>
      <w:r w:rsidR="00772AAE">
        <w:rPr>
          <w:rFonts w:ascii="宋体" w:eastAsia="宋体" w:hAnsi="宋体" w:cs="宋体" w:hint="eastAsia"/>
          <w:color w:val="000000" w:themeColor="text1"/>
        </w:rPr>
        <w:t>、职工大会或其他形式民主会议</w:t>
      </w:r>
      <w:r>
        <w:rPr>
          <w:rFonts w:ascii="宋体" w:eastAsia="宋体" w:hAnsi="宋体" w:cs="宋体" w:hint="eastAsia"/>
          <w:color w:val="000000" w:themeColor="text1"/>
        </w:rPr>
        <w:t>解任），决议作出之日解任生效。</w:t>
      </w:r>
    </w:p>
    <w:p w14:paraId="65645817"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无正当理由，在任期届满前解任董事、高级管理人员的，董事、高级管理人员可以要求公司予以赔偿。公司应依据法律、行政法规和《公司章程》的规定及董事、高级管理人员聘任合同的相关约定，综合考虑多种因素确定是否补偿以及补偿的合理数额。</w:t>
      </w:r>
    </w:p>
    <w:p w14:paraId="4B02925D"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公司高级管理人员可以在任期届满以前提出辞职。高级管理人员辞职的，自董事会收到辞职报告时生效。有关高级管理人员辞职的具体程序和办法由其与公司之间的劳动合同规定。</w:t>
      </w:r>
    </w:p>
    <w:p w14:paraId="6B4C0610"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公司董事、高级管理人员为自然人，有下列情形之一的，不能担任公司的董事或高级管理人员：</w:t>
      </w:r>
    </w:p>
    <w:p w14:paraId="0676B405"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（一）无民事行为能力或者限制民事行为能力；</w:t>
      </w:r>
    </w:p>
    <w:p w14:paraId="5F40B969"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（二）因贪污、贿赂、侵占财产、挪用财产或者破坏社会主义市场经济秩序，被判处刑罚，或者因犯罪被剥夺政治权利，执行期满未逾五年，被宣告缓刑的，自缓刑考验期满之日起未逾二年；</w:t>
      </w:r>
    </w:p>
    <w:p w14:paraId="40C11872"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（三）担任破产清算的公司、企业的董事或者厂长、经理，对该公司、企业的破产负有个人责任的，自该公司、企业破产清算完结之日起未逾三年；</w:t>
      </w:r>
    </w:p>
    <w:p w14:paraId="51AB3A29"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（四）担任因违法被吊销营业执照、责令关闭的公司、企业的法定代表人，并负有个人责任的，自该公司、企业被吊销营业执照、责令关闭之日起未逾三年；</w:t>
      </w:r>
    </w:p>
    <w:p w14:paraId="665DA46B"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（五）个人所负数额较大的债务到期未清偿被人民法院列为失信被执行人；</w:t>
      </w:r>
    </w:p>
    <w:p w14:paraId="3C944674"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（六）被中国证监会采取不得担任上市公司董事、高级管理人员的市场禁入措施，期限尚未届满的；</w:t>
      </w:r>
    </w:p>
    <w:p w14:paraId="2B347507"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lastRenderedPageBreak/>
        <w:t>（七）被证券交易所公开认定为不适合担任上市公司董事、高级管理人员等，期限尚未届满的；</w:t>
      </w:r>
    </w:p>
    <w:p w14:paraId="77F002FA"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（八）法律、行政法规或者部门规章规定的其他内容。</w:t>
      </w:r>
    </w:p>
    <w:p w14:paraId="699C2066"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上述期间，应当以公司股东会、董事会等有权机构审议董事、高级管理人员候选人聘任议案的日期为截止日。</w:t>
      </w:r>
    </w:p>
    <w:p w14:paraId="73F04BB7"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董事、高级管理人员在任职期间出现本制度第九条第（一）项至第（六）项任一情形的，相关董事、高级管理人员应当立即停止履职并由公司按照相关规定解除其职务；董事、高级管理人员在任职期间出现本制度第九条第（七）项、第（八）项情形的，公司应当在该事项发生之日起三十日内解除其职务，上海证券交易所另有规定的除外。</w:t>
      </w:r>
    </w:p>
    <w:p w14:paraId="51F93200"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相关董事应当停止履职但未停止履职或应被解除职务但仍未解除，参加董事及其专门委员会会议、独立董事专门会议并投票的，其投票无效并不计入出席人数。</w:t>
      </w:r>
    </w:p>
    <w:p w14:paraId="5CE4E195"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担任法定代表人的董事辞任的，视为同时辞去法定代表人。</w:t>
      </w:r>
    </w:p>
    <w:p w14:paraId="0664D92E" w14:textId="77777777" w:rsidR="00181DD9" w:rsidRDefault="00DE74C9">
      <w:pPr>
        <w:pStyle w:val="a3"/>
        <w:widowControl/>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法定代表人辞任的，公司将在法定代表人辞任之日起三十日内确定新的法定代表人。</w:t>
      </w:r>
    </w:p>
    <w:p w14:paraId="410B1384" w14:textId="77777777" w:rsidR="00181DD9" w:rsidRDefault="00DE74C9">
      <w:pPr>
        <w:pStyle w:val="a3"/>
        <w:widowControl/>
        <w:spacing w:before="120" w:beforeAutospacing="0" w:after="120" w:afterAutospacing="0" w:line="360" w:lineRule="auto"/>
        <w:jc w:val="center"/>
        <w:outlineLvl w:val="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第三章 移交手续与未结事项处理</w:t>
      </w:r>
    </w:p>
    <w:p w14:paraId="2FC1174A"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董事、高级管理人员在离职生效后五个工作日内，应向董事会移交其任职期间取得的涉及公司的全部文件、印章、数据资产、未了结事务清单及其他公司要求移交的文件，移交完成后，离职人员应当与公司授权人士共同签署确认书等相关文件。</w:t>
      </w:r>
    </w:p>
    <w:p w14:paraId="0E8B309B"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如离职人员涉及重大投资、关联交易或财务决策等重大事项的，审计委员会可启动离任审计，并将审计结果向董事会报告。</w:t>
      </w:r>
    </w:p>
    <w:p w14:paraId="4B86595A" w14:textId="77777777" w:rsidR="00181DD9" w:rsidRDefault="00DE74C9">
      <w:pPr>
        <w:pStyle w:val="a3"/>
        <w:widowControl/>
        <w:numPr>
          <w:ilvl w:val="0"/>
          <w:numId w:val="1"/>
        </w:numPr>
        <w:spacing w:beforeLines="50" w:before="156" w:beforeAutospacing="0" w:afterLines="50" w:after="156" w:afterAutospacing="0" w:line="360" w:lineRule="auto"/>
        <w:ind w:firstLineChars="200" w:firstLine="480"/>
        <w:rPr>
          <w:rFonts w:ascii="宋体" w:eastAsia="宋体" w:hAnsi="宋体" w:cs="宋体"/>
          <w:color w:val="000000" w:themeColor="text1"/>
        </w:rPr>
      </w:pPr>
      <w:r>
        <w:rPr>
          <w:rFonts w:ascii="宋体" w:eastAsia="宋体" w:hAnsi="宋体" w:cs="宋体" w:hint="eastAsia"/>
          <w:color w:val="000000" w:themeColor="text1"/>
        </w:rPr>
        <w:t>公司董事、高级管理人员在任职期间作出的公开承诺，无论其离职原因如何，均应继续履行。若董事、高级管理人员离职时尚未履行完毕公开承诺，离职董事、高级管理人员应在离职前提交书面说明，明确未履行完毕承诺的</w:t>
      </w:r>
      <w:r>
        <w:rPr>
          <w:rFonts w:ascii="宋体" w:eastAsia="宋体" w:hAnsi="宋体" w:cs="宋体" w:hint="eastAsia"/>
          <w:color w:val="000000" w:themeColor="text1"/>
        </w:rPr>
        <w:lastRenderedPageBreak/>
        <w:t>具体事项、预计完成时间及后续履行计划，公司在必要时采取相应措施督促离职董事、高级管理人员履行承诺。如其未按前述承诺及方案履行的，公司有权要求其赔偿由此产生的部分或全部损失。</w:t>
      </w:r>
    </w:p>
    <w:p w14:paraId="4AC27BC9" w14:textId="6207C604" w:rsidR="00181DD9" w:rsidRDefault="00DE74C9">
      <w:pPr>
        <w:pStyle w:val="a3"/>
        <w:widowControl/>
        <w:spacing w:beforeLines="50" w:before="156" w:beforeAutospacing="0" w:afterLines="50" w:after="156" w:afterAutospacing="0" w:line="360" w:lineRule="auto"/>
        <w:jc w:val="center"/>
        <w:outlineLvl w:val="0"/>
        <w:rPr>
          <w:rFonts w:ascii="宋体" w:eastAsia="宋体" w:hAnsi="宋体" w:cs="宋体"/>
          <w:color w:val="000000" w:themeColor="text1"/>
        </w:rPr>
      </w:pPr>
      <w:r>
        <w:rPr>
          <w:rFonts w:ascii="宋体" w:eastAsia="宋体" w:hAnsi="宋体" w:cs="宋体" w:hint="eastAsia"/>
          <w:b/>
          <w:bCs/>
          <w:color w:val="000000" w:themeColor="text1"/>
          <w:sz w:val="28"/>
          <w:szCs w:val="28"/>
        </w:rPr>
        <w:t xml:space="preserve">第四章 </w:t>
      </w:r>
      <w:r w:rsidR="009C24FF">
        <w:rPr>
          <w:rFonts w:ascii="宋体" w:eastAsia="宋体" w:hAnsi="宋体" w:cs="宋体" w:hint="eastAsia"/>
          <w:b/>
          <w:bCs/>
          <w:color w:val="000000" w:themeColor="text1"/>
          <w:sz w:val="28"/>
          <w:szCs w:val="28"/>
        </w:rPr>
        <w:t>离职董事及高级管理人员的义务</w:t>
      </w:r>
    </w:p>
    <w:p w14:paraId="61D44490" w14:textId="2A4AA24E" w:rsidR="00181DD9" w:rsidRPr="009C24FF" w:rsidRDefault="009C24FF" w:rsidP="009C24FF">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9C24FF">
        <w:rPr>
          <w:rFonts w:ascii="宋体" w:eastAsia="宋体" w:hAnsi="宋体" w:cs="宋体" w:hint="eastAsia"/>
          <w:color w:val="000000" w:themeColor="text1"/>
        </w:rPr>
        <w:t>董事及高级管理人员辞任生效或者任期届满，其对公司和股东负有的忠实义务在辞职报告尚未生效或者生效后的合理期间内、以及任期结束后的合理期间内并不当然解除，其对公司商业秘密保密的义务在其任职结束后仍然有效，直至该秘密成为公开信息，其它义务的持续期间应当根据公平的原则决定。董事及高级管理人员在任职期间因执行职务而应承担的责任，不因离任而免除或者终止。</w:t>
      </w:r>
    </w:p>
    <w:p w14:paraId="7B0625AD" w14:textId="70D923FA" w:rsidR="00181DD9" w:rsidRDefault="00DE74C9" w:rsidP="009C24FF">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Pr>
          <w:rFonts w:ascii="宋体" w:eastAsia="宋体" w:hAnsi="宋体" w:cs="宋体" w:hint="eastAsia"/>
          <w:color w:val="000000" w:themeColor="text1"/>
        </w:rPr>
        <w:t>公司</w:t>
      </w:r>
      <w:r w:rsidR="009C24FF">
        <w:rPr>
          <w:rFonts w:ascii="宋体" w:eastAsia="宋体" w:hAnsi="宋体" w:cs="宋体" w:hint="eastAsia"/>
          <w:color w:val="000000" w:themeColor="text1"/>
        </w:rPr>
        <w:t>董事、高级管理人员应当向公司申报所持有的本</w:t>
      </w:r>
      <w:r w:rsidR="009C24FF" w:rsidRPr="009C24FF">
        <w:rPr>
          <w:rFonts w:ascii="宋体" w:eastAsia="宋体" w:hAnsi="宋体" w:cs="宋体" w:hint="eastAsia"/>
          <w:color w:val="000000" w:themeColor="text1"/>
        </w:rPr>
        <w:t>公司的股份及其变动情况，在就任时确定的任职期间每年转让的股份不得超过其所持有本公司股份总数的25%</w:t>
      </w:r>
      <w:r w:rsidR="009C24FF">
        <w:rPr>
          <w:rFonts w:ascii="宋体" w:eastAsia="宋体" w:hAnsi="宋体" w:cs="宋体" w:hint="eastAsia"/>
          <w:color w:val="000000" w:themeColor="text1"/>
        </w:rPr>
        <w:t>；董事、高级管理人员离职后半年内，</w:t>
      </w:r>
      <w:r w:rsidR="009C24FF" w:rsidRPr="009C24FF">
        <w:rPr>
          <w:rFonts w:ascii="宋体" w:eastAsia="宋体" w:hAnsi="宋体" w:cs="宋体" w:hint="eastAsia"/>
          <w:color w:val="000000" w:themeColor="text1"/>
        </w:rPr>
        <w:t>不得转让其所持有的本公司股份。法律、行政法规、部门规章、</w:t>
      </w:r>
      <w:r w:rsidR="009C24FF">
        <w:rPr>
          <w:rFonts w:ascii="宋体" w:eastAsia="宋体" w:hAnsi="宋体" w:cs="宋体" w:hint="eastAsia"/>
          <w:color w:val="000000" w:themeColor="text1"/>
        </w:rPr>
        <w:t>规范性文件、</w:t>
      </w:r>
      <w:r w:rsidR="009C24FF" w:rsidRPr="009C24FF">
        <w:rPr>
          <w:rFonts w:ascii="宋体" w:eastAsia="宋体" w:hAnsi="宋体" w:cs="宋体" w:hint="eastAsia"/>
          <w:color w:val="000000" w:themeColor="text1"/>
        </w:rPr>
        <w:t>中国证监会及</w:t>
      </w:r>
      <w:r w:rsidR="009C24FF">
        <w:rPr>
          <w:rFonts w:ascii="宋体" w:eastAsia="宋体" w:hAnsi="宋体" w:cs="宋体" w:hint="eastAsia"/>
          <w:color w:val="000000" w:themeColor="text1"/>
        </w:rPr>
        <w:t>上海</w:t>
      </w:r>
      <w:r w:rsidR="009C24FF" w:rsidRPr="009C24FF">
        <w:rPr>
          <w:rFonts w:ascii="宋体" w:eastAsia="宋体" w:hAnsi="宋体" w:cs="宋体" w:hint="eastAsia"/>
          <w:color w:val="000000" w:themeColor="text1"/>
        </w:rPr>
        <w:t>证券交易所业务规则对公司董事、高级管理人员所持股份的转让限制另有规定的，从其规定。</w:t>
      </w:r>
    </w:p>
    <w:p w14:paraId="70DF1F08" w14:textId="1EDE50C2" w:rsidR="00181DD9" w:rsidRDefault="009C24FF" w:rsidP="009C24FF">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9C24FF">
        <w:rPr>
          <w:rFonts w:ascii="宋体" w:eastAsia="宋体" w:hAnsi="宋体" w:cs="宋体" w:hint="eastAsia"/>
          <w:color w:val="000000" w:themeColor="text1"/>
        </w:rPr>
        <w:t>董事、高级管理人员执行公司职务时违反法律、行政法规、部门规章</w:t>
      </w:r>
      <w:r>
        <w:rPr>
          <w:rFonts w:ascii="宋体" w:eastAsia="宋体" w:hAnsi="宋体" w:cs="宋体" w:hint="eastAsia"/>
          <w:color w:val="000000" w:themeColor="text1"/>
        </w:rPr>
        <w:t>、规范性文件</w:t>
      </w:r>
      <w:r w:rsidRPr="009C24FF">
        <w:rPr>
          <w:rFonts w:ascii="宋体" w:eastAsia="宋体" w:hAnsi="宋体" w:cs="宋体" w:hint="eastAsia"/>
          <w:color w:val="000000" w:themeColor="text1"/>
        </w:rPr>
        <w:t>或者《公司章程》的规定，给公司造成损失的，应当承担赔偿责任。前述赔偿责任不因其离职而免除。</w:t>
      </w:r>
    </w:p>
    <w:p w14:paraId="5256BD71" w14:textId="7F93DD5B" w:rsidR="00181DD9" w:rsidRDefault="009C24FF" w:rsidP="009C24FF">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9C24FF">
        <w:rPr>
          <w:rFonts w:ascii="宋体" w:eastAsia="宋体" w:hAnsi="宋体" w:cs="宋体" w:hint="eastAsia"/>
          <w:color w:val="000000" w:themeColor="text1"/>
        </w:rPr>
        <w:t>任职尚未结束的董事、高级管理人员，对因其擅自离职而致使公司造成的损失，应当承担赔偿责任。</w:t>
      </w:r>
    </w:p>
    <w:p w14:paraId="50F0B787" w14:textId="2AE539E9" w:rsidR="009C24FF" w:rsidRDefault="009C24FF" w:rsidP="009C24FF">
      <w:pPr>
        <w:pStyle w:val="a3"/>
        <w:widowControl/>
        <w:spacing w:beforeLines="50" w:before="156" w:beforeAutospacing="0" w:afterLines="50" w:after="156" w:afterAutospacing="0" w:line="360" w:lineRule="auto"/>
        <w:jc w:val="center"/>
        <w:outlineLvl w:val="0"/>
        <w:rPr>
          <w:rFonts w:ascii="宋体" w:eastAsia="宋体" w:hAnsi="宋体" w:cs="宋体"/>
          <w:color w:val="000000" w:themeColor="text1"/>
        </w:rPr>
      </w:pPr>
      <w:r>
        <w:rPr>
          <w:rFonts w:ascii="宋体" w:eastAsia="宋体" w:hAnsi="宋体" w:cs="宋体" w:hint="eastAsia"/>
          <w:b/>
          <w:bCs/>
          <w:color w:val="000000" w:themeColor="text1"/>
          <w:sz w:val="28"/>
          <w:szCs w:val="28"/>
        </w:rPr>
        <w:t>第五章 责任追究机制</w:t>
      </w:r>
    </w:p>
    <w:p w14:paraId="369017E0" w14:textId="1978DA25" w:rsidR="009C24FF" w:rsidRDefault="009C24FF" w:rsidP="009C24FF">
      <w:pPr>
        <w:pStyle w:val="a3"/>
        <w:widowControl/>
        <w:spacing w:beforeLines="50" w:before="156" w:beforeAutospacing="0" w:afterLines="50" w:after="156" w:afterAutospacing="0" w:line="360" w:lineRule="auto"/>
        <w:ind w:firstLineChars="200" w:firstLine="482"/>
        <w:jc w:val="both"/>
        <w:rPr>
          <w:rFonts w:ascii="宋体" w:eastAsia="宋体" w:hAnsi="宋体" w:cs="宋体"/>
          <w:color w:val="000000" w:themeColor="text1"/>
        </w:rPr>
      </w:pPr>
      <w:r w:rsidRPr="009C24FF">
        <w:rPr>
          <w:rFonts w:ascii="宋体" w:eastAsia="宋体" w:hAnsi="宋体" w:cs="宋体" w:hint="eastAsia"/>
          <w:b/>
          <w:color w:val="000000" w:themeColor="text1"/>
        </w:rPr>
        <w:t>第十九条</w:t>
      </w:r>
      <w:r>
        <w:rPr>
          <w:rFonts w:ascii="宋体" w:eastAsia="宋体" w:hAnsi="宋体" w:cs="宋体" w:hint="eastAsia"/>
          <w:color w:val="000000" w:themeColor="text1"/>
        </w:rPr>
        <w:t xml:space="preserve"> </w:t>
      </w:r>
      <w:r w:rsidRPr="009C24FF">
        <w:rPr>
          <w:rFonts w:ascii="宋体" w:eastAsia="宋体" w:hAnsi="宋体" w:cs="宋体" w:hint="eastAsia"/>
          <w:color w:val="000000" w:themeColor="text1"/>
        </w:rPr>
        <w:t>如公司发现离职董事、高级管理人员存在未履行承诺、移交瑕疵或违反忠实义务等情形的，董事会应召开会议审议对该等人员的具体追责方案，追偿金额包括但不限于直接损失、预期利益损失及合理维权费用等。</w:t>
      </w:r>
    </w:p>
    <w:p w14:paraId="10C33BDE" w14:textId="3FCBA383" w:rsidR="009C24FF" w:rsidRPr="009C24FF" w:rsidRDefault="009C24FF" w:rsidP="009C24FF">
      <w:pPr>
        <w:pStyle w:val="a3"/>
        <w:widowControl/>
        <w:spacing w:beforeLines="50" w:before="156" w:beforeAutospacing="0" w:afterLines="50" w:after="156" w:afterAutospacing="0" w:line="360" w:lineRule="auto"/>
        <w:ind w:firstLineChars="200" w:firstLine="482"/>
        <w:jc w:val="both"/>
        <w:rPr>
          <w:rFonts w:ascii="宋体" w:eastAsia="宋体" w:hAnsi="宋体" w:cs="宋体"/>
          <w:color w:val="000000" w:themeColor="text1"/>
        </w:rPr>
      </w:pPr>
      <w:r w:rsidRPr="0035710E">
        <w:rPr>
          <w:rFonts w:ascii="宋体" w:eastAsia="宋体" w:hAnsi="宋体" w:cs="宋体" w:hint="eastAsia"/>
          <w:b/>
          <w:color w:val="000000" w:themeColor="text1"/>
        </w:rPr>
        <w:lastRenderedPageBreak/>
        <w:t>第二十条</w:t>
      </w:r>
      <w:r>
        <w:rPr>
          <w:rFonts w:ascii="宋体" w:eastAsia="宋体" w:hAnsi="宋体" w:cs="宋体" w:hint="eastAsia"/>
          <w:color w:val="000000" w:themeColor="text1"/>
        </w:rPr>
        <w:t xml:space="preserve"> </w:t>
      </w:r>
      <w:r w:rsidR="0035710E" w:rsidRPr="0035710E">
        <w:rPr>
          <w:rFonts w:ascii="宋体" w:eastAsia="宋体" w:hAnsi="宋体" w:cs="宋体" w:hint="eastAsia"/>
          <w:color w:val="000000" w:themeColor="text1"/>
        </w:rPr>
        <w:t>离职董事、高级管理人员对追责决定有异议的，可自收到通知之日起15日内向公司</w:t>
      </w:r>
      <w:r w:rsidR="0035710E">
        <w:rPr>
          <w:rFonts w:ascii="宋体" w:eastAsia="宋体" w:hAnsi="宋体" w:cs="宋体" w:hint="eastAsia"/>
          <w:color w:val="000000" w:themeColor="text1"/>
        </w:rPr>
        <w:t>审计委员会申请复核，复核期间不影响公司采取财产保全措施（如有）。</w:t>
      </w:r>
    </w:p>
    <w:p w14:paraId="3C1AFD9C" w14:textId="023E4AFE" w:rsidR="00181DD9" w:rsidRDefault="0035710E">
      <w:pPr>
        <w:pStyle w:val="a3"/>
        <w:widowControl/>
        <w:spacing w:before="120" w:beforeAutospacing="0" w:after="120" w:afterAutospacing="0" w:line="360" w:lineRule="auto"/>
        <w:jc w:val="center"/>
        <w:outlineLvl w:val="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第六</w:t>
      </w:r>
      <w:r w:rsidR="00DE74C9">
        <w:rPr>
          <w:rFonts w:ascii="宋体" w:eastAsia="宋体" w:hAnsi="宋体" w:cs="宋体" w:hint="eastAsia"/>
          <w:b/>
          <w:bCs/>
          <w:color w:val="000000" w:themeColor="text1"/>
          <w:sz w:val="28"/>
          <w:szCs w:val="28"/>
        </w:rPr>
        <w:t>章 附则</w:t>
      </w:r>
    </w:p>
    <w:p w14:paraId="47F44625" w14:textId="0D1E4A1D" w:rsidR="00181DD9" w:rsidRDefault="0035710E" w:rsidP="0035710E">
      <w:pPr>
        <w:pStyle w:val="a3"/>
        <w:widowControl/>
        <w:spacing w:beforeLines="50" w:before="156" w:beforeAutospacing="0" w:afterLines="50" w:after="156" w:afterAutospacing="0" w:line="360" w:lineRule="auto"/>
        <w:ind w:left="480"/>
        <w:rPr>
          <w:rFonts w:ascii="宋体" w:eastAsia="宋体" w:hAnsi="宋体" w:cs="宋体"/>
          <w:color w:val="000000" w:themeColor="text1"/>
        </w:rPr>
      </w:pPr>
      <w:r w:rsidRPr="0035710E">
        <w:rPr>
          <w:rFonts w:ascii="宋体" w:eastAsia="宋体" w:hAnsi="宋体" w:cs="宋体" w:hint="eastAsia"/>
          <w:b/>
          <w:color w:val="000000" w:themeColor="text1"/>
        </w:rPr>
        <w:t>第二十一条</w:t>
      </w:r>
      <w:r>
        <w:rPr>
          <w:rFonts w:ascii="宋体" w:eastAsia="宋体" w:hAnsi="宋体" w:cs="宋体" w:hint="eastAsia"/>
          <w:color w:val="000000" w:themeColor="text1"/>
        </w:rPr>
        <w:t xml:space="preserve"> </w:t>
      </w:r>
      <w:r w:rsidRPr="0035710E">
        <w:rPr>
          <w:rFonts w:ascii="宋体" w:eastAsia="宋体" w:hAnsi="宋体" w:cs="宋体" w:hint="eastAsia"/>
          <w:color w:val="000000" w:themeColor="text1"/>
        </w:rPr>
        <w:t>本制度自公司董事会审议通过之日起生效</w:t>
      </w:r>
      <w:r>
        <w:rPr>
          <w:rFonts w:ascii="宋体" w:eastAsia="宋体" w:hAnsi="宋体" w:cs="宋体" w:hint="eastAsia"/>
          <w:color w:val="000000" w:themeColor="text1"/>
        </w:rPr>
        <w:t>并实施</w:t>
      </w:r>
      <w:r w:rsidRPr="0035710E">
        <w:rPr>
          <w:rFonts w:ascii="宋体" w:eastAsia="宋体" w:hAnsi="宋体" w:cs="宋体" w:hint="eastAsia"/>
          <w:color w:val="000000" w:themeColor="text1"/>
        </w:rPr>
        <w:t>，修改时亦同。</w:t>
      </w:r>
    </w:p>
    <w:p w14:paraId="27A85EC4" w14:textId="3ADF95E1" w:rsidR="0035710E" w:rsidRPr="0035710E" w:rsidRDefault="0035710E" w:rsidP="0035710E">
      <w:pPr>
        <w:pStyle w:val="a3"/>
        <w:widowControl/>
        <w:spacing w:beforeLines="50" w:before="156" w:beforeAutospacing="0" w:afterLines="50" w:after="156" w:afterAutospacing="0" w:line="360" w:lineRule="auto"/>
        <w:ind w:firstLineChars="200" w:firstLine="482"/>
        <w:jc w:val="both"/>
        <w:rPr>
          <w:rFonts w:ascii="宋体" w:eastAsia="宋体" w:hAnsi="宋体" w:cs="宋体"/>
          <w:b/>
          <w:color w:val="000000" w:themeColor="text1"/>
        </w:rPr>
      </w:pPr>
      <w:r w:rsidRPr="0035710E">
        <w:rPr>
          <w:rFonts w:ascii="宋体" w:eastAsia="宋体" w:hAnsi="宋体" w:cs="宋体" w:hint="eastAsia"/>
          <w:b/>
          <w:color w:val="000000" w:themeColor="text1"/>
        </w:rPr>
        <w:t xml:space="preserve">第二十二条 </w:t>
      </w:r>
      <w:r w:rsidRPr="0035710E">
        <w:rPr>
          <w:rFonts w:ascii="宋体" w:eastAsia="宋体" w:hAnsi="宋体" w:cs="宋体" w:hint="eastAsia"/>
          <w:color w:val="000000" w:themeColor="text1"/>
        </w:rPr>
        <w:t>本制度未尽事宜，按国家有关法律、行政法规、部门规章、规范性文件和《公司章程》的规定执行；本制度与有关法律、行政法规、部门规章、规范性文件以及《公司章程》的有关规定不一致的，以有关法律、行政法规、部门规章、规范性文件以及《公司章程》的有关规定为准；本制度如与国家日后颁布的法律、行政法规、部门规章、规范性文件或经合法程序修改后的《公司章程》相抵触时，按国家有关法律、行政法规、部门规章、规范性文件和《公司章程》的规定执行。</w:t>
      </w:r>
    </w:p>
    <w:p w14:paraId="5BFB54D4" w14:textId="40563320" w:rsidR="00181DD9" w:rsidRDefault="0035710E" w:rsidP="0035710E">
      <w:pPr>
        <w:pStyle w:val="a3"/>
        <w:widowControl/>
        <w:spacing w:beforeLines="50" w:before="156" w:beforeAutospacing="0" w:afterLines="50" w:after="156" w:afterAutospacing="0" w:line="360" w:lineRule="auto"/>
        <w:ind w:firstLineChars="200" w:firstLine="482"/>
        <w:rPr>
          <w:rFonts w:ascii="宋体" w:eastAsia="宋体" w:hAnsi="宋体" w:cs="宋体"/>
          <w:color w:val="000000" w:themeColor="text1"/>
        </w:rPr>
      </w:pPr>
      <w:r w:rsidRPr="0035710E">
        <w:rPr>
          <w:rFonts w:ascii="宋体" w:eastAsia="宋体" w:hAnsi="宋体" w:cs="宋体" w:hint="eastAsia"/>
          <w:b/>
          <w:color w:val="000000" w:themeColor="text1"/>
        </w:rPr>
        <w:t>第二十三条</w:t>
      </w:r>
      <w:r>
        <w:rPr>
          <w:rFonts w:ascii="宋体" w:eastAsia="宋体" w:hAnsi="宋体" w:cs="宋体" w:hint="eastAsia"/>
          <w:color w:val="000000" w:themeColor="text1"/>
        </w:rPr>
        <w:t xml:space="preserve"> </w:t>
      </w:r>
      <w:r w:rsidRPr="0035710E">
        <w:rPr>
          <w:rFonts w:ascii="宋体" w:eastAsia="宋体" w:hAnsi="宋体" w:cs="宋体" w:hint="eastAsia"/>
          <w:color w:val="000000" w:themeColor="text1"/>
        </w:rPr>
        <w:t>本制度由董事会负责解释。</w:t>
      </w:r>
    </w:p>
    <w:sectPr w:rsidR="00181DD9" w:rsidSect="002B6CE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C754" w14:textId="77777777" w:rsidR="00F27613" w:rsidRDefault="00F27613" w:rsidP="001A62E3">
      <w:r>
        <w:separator/>
      </w:r>
    </w:p>
  </w:endnote>
  <w:endnote w:type="continuationSeparator" w:id="0">
    <w:p w14:paraId="027884D8" w14:textId="77777777" w:rsidR="00F27613" w:rsidRDefault="00F27613" w:rsidP="001A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4ECC" w14:textId="1C503E76" w:rsidR="002B6CE3" w:rsidRDefault="002B6CE3">
    <w:pPr>
      <w:pStyle w:val="ad"/>
      <w:jc w:val="center"/>
    </w:pPr>
  </w:p>
  <w:p w14:paraId="035A0770" w14:textId="77777777" w:rsidR="002B6CE3" w:rsidRDefault="002B6CE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39997"/>
      <w:docPartObj>
        <w:docPartGallery w:val="Page Numbers (Bottom of Page)"/>
        <w:docPartUnique/>
      </w:docPartObj>
    </w:sdtPr>
    <w:sdtContent>
      <w:p w14:paraId="559C41E8" w14:textId="0F5FA4C4" w:rsidR="002B6CE3" w:rsidRDefault="002B6CE3">
        <w:pPr>
          <w:pStyle w:val="ad"/>
          <w:jc w:val="center"/>
        </w:pPr>
        <w:r>
          <w:fldChar w:fldCharType="begin"/>
        </w:r>
        <w:r>
          <w:instrText>PAGE   \* MERGEFORMAT</w:instrText>
        </w:r>
        <w:r>
          <w:fldChar w:fldCharType="separate"/>
        </w:r>
        <w:r w:rsidRPr="002B6CE3">
          <w:rPr>
            <w:noProof/>
            <w:lang w:val="zh-CN"/>
          </w:rPr>
          <w:t>1</w:t>
        </w:r>
        <w:r>
          <w:fldChar w:fldCharType="end"/>
        </w:r>
      </w:p>
    </w:sdtContent>
  </w:sdt>
  <w:p w14:paraId="669939C5" w14:textId="77777777" w:rsidR="002B6CE3" w:rsidRDefault="002B6CE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F9057" w14:textId="77777777" w:rsidR="00F27613" w:rsidRDefault="00F27613" w:rsidP="001A62E3">
      <w:r>
        <w:separator/>
      </w:r>
    </w:p>
  </w:footnote>
  <w:footnote w:type="continuationSeparator" w:id="0">
    <w:p w14:paraId="310DA642" w14:textId="77777777" w:rsidR="00F27613" w:rsidRDefault="00F27613" w:rsidP="001A6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CFF9" w14:textId="2D273B5D" w:rsidR="0042221F" w:rsidRDefault="0042221F">
    <w:pPr>
      <w:pStyle w:val="ab"/>
    </w:pPr>
    <w:r>
      <w:rPr>
        <w:rFonts w:hint="eastAsia"/>
      </w:rPr>
      <w:t>倍加洁集团股份有限公司</w:t>
    </w:r>
    <w:r>
      <w:ptab w:relativeTo="margin" w:alignment="center" w:leader="none"/>
    </w:r>
    <w:r>
      <w:ptab w:relativeTo="margin" w:alignment="right" w:leader="none"/>
    </w:r>
    <w:r>
      <w:rPr>
        <w:rFonts w:hint="eastAsia"/>
      </w:rPr>
      <w:t>董事、高级管理人员离职管理制度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41DC"/>
    <w:multiLevelType w:val="singleLevel"/>
    <w:tmpl w:val="1A7641DC"/>
    <w:lvl w:ilvl="0">
      <w:start w:val="1"/>
      <w:numFmt w:val="chineseCounting"/>
      <w:suff w:val="nothing"/>
      <w:lvlText w:val="第%1条 "/>
      <w:lvlJc w:val="left"/>
      <w:pPr>
        <w:ind w:left="0" w:firstLine="420"/>
      </w:pPr>
      <w:rPr>
        <w:rFonts w:hint="eastAsia"/>
        <w:b/>
        <w:bCs/>
        <w:sz w:val="24"/>
        <w:szCs w:val="24"/>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2YwMTc3ODRlNTkxYzJiZTEzZTRiMDZkNGI1NDMifQ=="/>
    <w:docVar w:name="KSO_WPS_MARK_KEY" w:val="941a3c98-8099-4be8-b0cb-4d6d23a9319e"/>
  </w:docVars>
  <w:rsids>
    <w:rsidRoot w:val="5B4A3D42"/>
    <w:rsid w:val="00027758"/>
    <w:rsid w:val="00055C39"/>
    <w:rsid w:val="000B509B"/>
    <w:rsid w:val="000F1169"/>
    <w:rsid w:val="00104B01"/>
    <w:rsid w:val="00124D25"/>
    <w:rsid w:val="00171D07"/>
    <w:rsid w:val="00181DD9"/>
    <w:rsid w:val="001A62E3"/>
    <w:rsid w:val="001D015C"/>
    <w:rsid w:val="00257DCD"/>
    <w:rsid w:val="002B6CE3"/>
    <w:rsid w:val="00306A48"/>
    <w:rsid w:val="00307CC4"/>
    <w:rsid w:val="0031680C"/>
    <w:rsid w:val="00325FAB"/>
    <w:rsid w:val="00337369"/>
    <w:rsid w:val="0035710E"/>
    <w:rsid w:val="00380CE7"/>
    <w:rsid w:val="00421A01"/>
    <w:rsid w:val="0042221F"/>
    <w:rsid w:val="0042649D"/>
    <w:rsid w:val="004B044F"/>
    <w:rsid w:val="00502728"/>
    <w:rsid w:val="00505E0D"/>
    <w:rsid w:val="005B4347"/>
    <w:rsid w:val="00600447"/>
    <w:rsid w:val="00616B80"/>
    <w:rsid w:val="00645B32"/>
    <w:rsid w:val="0065625D"/>
    <w:rsid w:val="006A281E"/>
    <w:rsid w:val="006E274D"/>
    <w:rsid w:val="00772AAE"/>
    <w:rsid w:val="007C7546"/>
    <w:rsid w:val="008414FF"/>
    <w:rsid w:val="008650B5"/>
    <w:rsid w:val="00895656"/>
    <w:rsid w:val="008A267D"/>
    <w:rsid w:val="008B28BE"/>
    <w:rsid w:val="008D686D"/>
    <w:rsid w:val="009919D5"/>
    <w:rsid w:val="009A76E9"/>
    <w:rsid w:val="009C24FF"/>
    <w:rsid w:val="00A269E5"/>
    <w:rsid w:val="00AF15AF"/>
    <w:rsid w:val="00B11DB3"/>
    <w:rsid w:val="00B54ABF"/>
    <w:rsid w:val="00BA0CD7"/>
    <w:rsid w:val="00BB5F8F"/>
    <w:rsid w:val="00BC59EF"/>
    <w:rsid w:val="00C14DAF"/>
    <w:rsid w:val="00C82B46"/>
    <w:rsid w:val="00CC54C3"/>
    <w:rsid w:val="00CC5EF1"/>
    <w:rsid w:val="00D250F5"/>
    <w:rsid w:val="00D5030E"/>
    <w:rsid w:val="00D6045C"/>
    <w:rsid w:val="00D67E7E"/>
    <w:rsid w:val="00D908A1"/>
    <w:rsid w:val="00DE3592"/>
    <w:rsid w:val="00DE74C9"/>
    <w:rsid w:val="00E02CAC"/>
    <w:rsid w:val="00E170FD"/>
    <w:rsid w:val="00E32669"/>
    <w:rsid w:val="00EB5C34"/>
    <w:rsid w:val="00F046AA"/>
    <w:rsid w:val="00F27613"/>
    <w:rsid w:val="00FB2753"/>
    <w:rsid w:val="00FB5463"/>
    <w:rsid w:val="00FD1805"/>
    <w:rsid w:val="00FF7BD0"/>
    <w:rsid w:val="028E4F47"/>
    <w:rsid w:val="029E00A5"/>
    <w:rsid w:val="075F5E39"/>
    <w:rsid w:val="0FC36003"/>
    <w:rsid w:val="10647972"/>
    <w:rsid w:val="19473D6A"/>
    <w:rsid w:val="351C7AAF"/>
    <w:rsid w:val="49FD01CC"/>
    <w:rsid w:val="51035B58"/>
    <w:rsid w:val="5B4A3D42"/>
    <w:rsid w:val="7A1D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B6A42"/>
  <w15:docId w15:val="{E7B31E99-8E13-4B8F-B31A-28B8E522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annotation reference"/>
    <w:basedOn w:val="a0"/>
    <w:rsid w:val="00D5030E"/>
    <w:rPr>
      <w:sz w:val="21"/>
      <w:szCs w:val="21"/>
    </w:rPr>
  </w:style>
  <w:style w:type="paragraph" w:styleId="a5">
    <w:name w:val="annotation text"/>
    <w:basedOn w:val="a"/>
    <w:link w:val="a6"/>
    <w:rsid w:val="00D5030E"/>
    <w:pPr>
      <w:jc w:val="left"/>
    </w:pPr>
  </w:style>
  <w:style w:type="character" w:customStyle="1" w:styleId="a6">
    <w:name w:val="批注文字 字符"/>
    <w:basedOn w:val="a0"/>
    <w:link w:val="a5"/>
    <w:rsid w:val="00D5030E"/>
    <w:rPr>
      <w:rFonts w:asciiTheme="minorHAnsi" w:eastAsiaTheme="minorEastAsia" w:hAnsiTheme="minorHAnsi" w:cstheme="minorBidi"/>
      <w:kern w:val="2"/>
      <w:sz w:val="21"/>
      <w:szCs w:val="24"/>
    </w:rPr>
  </w:style>
  <w:style w:type="paragraph" w:styleId="a7">
    <w:name w:val="annotation subject"/>
    <w:basedOn w:val="a5"/>
    <w:next w:val="a5"/>
    <w:link w:val="a8"/>
    <w:rsid w:val="00D5030E"/>
    <w:rPr>
      <w:b/>
      <w:bCs/>
    </w:rPr>
  </w:style>
  <w:style w:type="character" w:customStyle="1" w:styleId="a8">
    <w:name w:val="批注主题 字符"/>
    <w:basedOn w:val="a6"/>
    <w:link w:val="a7"/>
    <w:rsid w:val="00D5030E"/>
    <w:rPr>
      <w:rFonts w:asciiTheme="minorHAnsi" w:eastAsiaTheme="minorEastAsia" w:hAnsiTheme="minorHAnsi" w:cstheme="minorBidi"/>
      <w:b/>
      <w:bCs/>
      <w:kern w:val="2"/>
      <w:sz w:val="21"/>
      <w:szCs w:val="24"/>
    </w:rPr>
  </w:style>
  <w:style w:type="paragraph" w:styleId="a9">
    <w:name w:val="Balloon Text"/>
    <w:basedOn w:val="a"/>
    <w:link w:val="aa"/>
    <w:rsid w:val="00D5030E"/>
    <w:rPr>
      <w:sz w:val="18"/>
      <w:szCs w:val="18"/>
    </w:rPr>
  </w:style>
  <w:style w:type="character" w:customStyle="1" w:styleId="aa">
    <w:name w:val="批注框文本 字符"/>
    <w:basedOn w:val="a0"/>
    <w:link w:val="a9"/>
    <w:rsid w:val="00D5030E"/>
    <w:rPr>
      <w:rFonts w:asciiTheme="minorHAnsi" w:eastAsiaTheme="minorEastAsia" w:hAnsiTheme="minorHAnsi" w:cstheme="minorBidi"/>
      <w:kern w:val="2"/>
      <w:sz w:val="18"/>
      <w:szCs w:val="18"/>
    </w:rPr>
  </w:style>
  <w:style w:type="paragraph" w:styleId="ab">
    <w:name w:val="header"/>
    <w:basedOn w:val="a"/>
    <w:link w:val="ac"/>
    <w:rsid w:val="001A62E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1A62E3"/>
    <w:rPr>
      <w:rFonts w:asciiTheme="minorHAnsi" w:eastAsiaTheme="minorEastAsia" w:hAnsiTheme="minorHAnsi" w:cstheme="minorBidi"/>
      <w:kern w:val="2"/>
      <w:sz w:val="18"/>
      <w:szCs w:val="18"/>
    </w:rPr>
  </w:style>
  <w:style w:type="paragraph" w:styleId="ad">
    <w:name w:val="footer"/>
    <w:basedOn w:val="a"/>
    <w:link w:val="ae"/>
    <w:uiPriority w:val="99"/>
    <w:rsid w:val="001A62E3"/>
    <w:pPr>
      <w:tabs>
        <w:tab w:val="center" w:pos="4153"/>
        <w:tab w:val="right" w:pos="8306"/>
      </w:tabs>
      <w:snapToGrid w:val="0"/>
      <w:jc w:val="left"/>
    </w:pPr>
    <w:rPr>
      <w:sz w:val="18"/>
      <w:szCs w:val="18"/>
    </w:rPr>
  </w:style>
  <w:style w:type="character" w:customStyle="1" w:styleId="ae">
    <w:name w:val="页脚 字符"/>
    <w:basedOn w:val="a0"/>
    <w:link w:val="ad"/>
    <w:uiPriority w:val="99"/>
    <w:rsid w:val="001A6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6</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艾琴</dc:creator>
  <cp:lastModifiedBy>孙彬</cp:lastModifiedBy>
  <cp:revision>396</cp:revision>
  <dcterms:created xsi:type="dcterms:W3CDTF">2025-04-29T06:19:00Z</dcterms:created>
  <dcterms:modified xsi:type="dcterms:W3CDTF">2025-08-26T03:11:00Z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541D85B254F144299A9DD1ED5DC9A824_11</vt:lpwstr>
  </property>
  <property fmtid="{D5CDD505-2E9C-101B-9397-08002B2CF9AE}" pid="4" name="KSOTemplateDocerSaveRecord">
    <vt:lpwstr>eyJoZGlkIjoiNTZmN2Y3YzM1OTcwMDliZTg1ZDBmYzdhZDJmZWNhZTIifQ==</vt:lpwstr>
  </property>
</Properties>
</file>