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895A7" w14:textId="1B1ABFDE" w:rsidR="001220ED" w:rsidRPr="00567A16" w:rsidRDefault="007973D1" w:rsidP="00DC5323">
      <w:pPr>
        <w:adjustRightInd w:val="0"/>
        <w:snapToGrid w:val="0"/>
        <w:rPr>
          <w:rFonts w:ascii="宋体" w:hAnsi="宋体"/>
          <w:sz w:val="24"/>
          <w:szCs w:val="24"/>
        </w:rPr>
      </w:pPr>
      <w:r w:rsidRPr="00567A16">
        <w:rPr>
          <w:rFonts w:ascii="宋体" w:hAnsi="宋体"/>
          <w:sz w:val="24"/>
          <w:szCs w:val="24"/>
        </w:rPr>
        <w:t>证券代码：</w:t>
      </w:r>
      <w:r w:rsidRPr="00567A16">
        <w:rPr>
          <w:rFonts w:ascii="宋体" w:hAnsi="宋体" w:hint="eastAsia"/>
          <w:sz w:val="24"/>
          <w:szCs w:val="24"/>
        </w:rPr>
        <w:t>603059</w:t>
      </w:r>
      <w:r w:rsidRPr="00567A16">
        <w:rPr>
          <w:rFonts w:ascii="宋体" w:hAnsi="宋体"/>
          <w:sz w:val="24"/>
          <w:szCs w:val="24"/>
        </w:rPr>
        <w:t xml:space="preserve"> </w:t>
      </w:r>
      <w:r w:rsidR="00567A16">
        <w:rPr>
          <w:rFonts w:ascii="宋体" w:hAnsi="宋体"/>
          <w:sz w:val="24"/>
          <w:szCs w:val="24"/>
        </w:rPr>
        <w:t xml:space="preserve">   </w:t>
      </w:r>
      <w:r w:rsidRPr="00567A16">
        <w:rPr>
          <w:rFonts w:ascii="宋体" w:hAnsi="宋体" w:hint="eastAsia"/>
          <w:sz w:val="24"/>
          <w:szCs w:val="24"/>
        </w:rPr>
        <w:t xml:space="preserve"> </w:t>
      </w:r>
      <w:r w:rsidR="00567A16">
        <w:rPr>
          <w:rFonts w:ascii="宋体" w:hAnsi="宋体"/>
          <w:sz w:val="24"/>
          <w:szCs w:val="24"/>
        </w:rPr>
        <w:t xml:space="preserve">      </w:t>
      </w:r>
      <w:r w:rsidRPr="00567A16">
        <w:rPr>
          <w:rFonts w:ascii="宋体" w:hAnsi="宋体"/>
          <w:sz w:val="24"/>
          <w:szCs w:val="24"/>
        </w:rPr>
        <w:t>证券简称：</w:t>
      </w:r>
      <w:r w:rsidRPr="00567A16">
        <w:rPr>
          <w:rFonts w:ascii="宋体" w:hAnsi="宋体" w:hint="eastAsia"/>
          <w:sz w:val="24"/>
          <w:szCs w:val="24"/>
        </w:rPr>
        <w:t>倍加洁</w:t>
      </w:r>
      <w:r w:rsidRPr="00567A16">
        <w:rPr>
          <w:rFonts w:ascii="宋体" w:hAnsi="宋体"/>
          <w:sz w:val="24"/>
          <w:szCs w:val="24"/>
        </w:rPr>
        <w:t xml:space="preserve"> </w:t>
      </w:r>
      <w:r w:rsidR="00567A16">
        <w:rPr>
          <w:rFonts w:ascii="宋体" w:hAnsi="宋体"/>
          <w:sz w:val="24"/>
          <w:szCs w:val="24"/>
        </w:rPr>
        <w:t xml:space="preserve">     </w:t>
      </w:r>
      <w:r w:rsidRPr="00567A16">
        <w:rPr>
          <w:rFonts w:ascii="宋体" w:hAnsi="宋体" w:hint="eastAsia"/>
          <w:sz w:val="24"/>
          <w:szCs w:val="24"/>
        </w:rPr>
        <w:t xml:space="preserve"> </w:t>
      </w:r>
      <w:r w:rsidR="00567A16">
        <w:rPr>
          <w:rFonts w:ascii="宋体" w:hAnsi="宋体"/>
          <w:sz w:val="24"/>
          <w:szCs w:val="24"/>
        </w:rPr>
        <w:t xml:space="preserve"> </w:t>
      </w:r>
      <w:r w:rsidRPr="00567A16">
        <w:rPr>
          <w:rFonts w:ascii="宋体" w:hAnsi="宋体"/>
          <w:sz w:val="24"/>
          <w:szCs w:val="24"/>
        </w:rPr>
        <w:t>公告编号：</w:t>
      </w:r>
      <w:r w:rsidRPr="00567A16">
        <w:rPr>
          <w:rFonts w:ascii="宋体" w:hAnsi="宋体" w:hint="eastAsia"/>
          <w:sz w:val="24"/>
          <w:szCs w:val="24"/>
        </w:rPr>
        <w:t>2025-</w:t>
      </w:r>
      <w:r w:rsidR="00DC5323">
        <w:rPr>
          <w:rFonts w:ascii="宋体" w:hAnsi="宋体"/>
          <w:sz w:val="24"/>
          <w:szCs w:val="24"/>
        </w:rPr>
        <w:t>044</w:t>
      </w:r>
    </w:p>
    <w:p w14:paraId="788210DD" w14:textId="77777777" w:rsidR="001220ED" w:rsidRDefault="001220ED">
      <w:pPr>
        <w:adjustRightInd w:val="0"/>
        <w:snapToGrid w:val="0"/>
        <w:spacing w:line="560" w:lineRule="exact"/>
        <w:jc w:val="center"/>
        <w:rPr>
          <w:rFonts w:ascii="Times New Roman" w:hAnsi="Times New Roman"/>
          <w:sz w:val="24"/>
        </w:rPr>
      </w:pPr>
    </w:p>
    <w:p w14:paraId="014A93E6" w14:textId="77777777" w:rsidR="001220ED" w:rsidRPr="00FD506D" w:rsidRDefault="007973D1">
      <w:pPr>
        <w:snapToGrid w:val="0"/>
        <w:spacing w:line="560" w:lineRule="exact"/>
        <w:jc w:val="center"/>
        <w:rPr>
          <w:rFonts w:ascii="黑体" w:eastAsia="黑体" w:hAnsi="黑体"/>
          <w:b/>
          <w:color w:val="FF0000"/>
          <w:sz w:val="36"/>
          <w:szCs w:val="36"/>
        </w:rPr>
      </w:pPr>
      <w:r w:rsidRPr="00FD506D">
        <w:rPr>
          <w:rFonts w:ascii="黑体" w:eastAsia="黑体" w:hAnsi="黑体" w:hint="eastAsia"/>
          <w:b/>
          <w:color w:val="FF0000"/>
          <w:sz w:val="36"/>
          <w:szCs w:val="36"/>
        </w:rPr>
        <w:t>倍加洁集团股份有限公司</w:t>
      </w:r>
    </w:p>
    <w:p w14:paraId="6765819A" w14:textId="77777777" w:rsidR="001220ED" w:rsidRPr="00FD506D" w:rsidRDefault="007973D1">
      <w:pPr>
        <w:snapToGrid w:val="0"/>
        <w:spacing w:line="560" w:lineRule="exact"/>
        <w:jc w:val="center"/>
        <w:rPr>
          <w:rFonts w:ascii="黑体" w:eastAsia="黑体" w:hAnsi="黑体"/>
          <w:b/>
          <w:color w:val="FF0000"/>
          <w:sz w:val="36"/>
          <w:szCs w:val="36"/>
        </w:rPr>
      </w:pPr>
      <w:r w:rsidRPr="00FD506D">
        <w:rPr>
          <w:rFonts w:ascii="黑体" w:eastAsia="黑体" w:hAnsi="黑体" w:hint="eastAsia"/>
          <w:b/>
          <w:color w:val="FF0000"/>
          <w:sz w:val="36"/>
          <w:szCs w:val="36"/>
        </w:rPr>
        <w:t>关于2025年半年度利润分配方案的公告</w:t>
      </w:r>
    </w:p>
    <w:p w14:paraId="2AC10BC4" w14:textId="77777777" w:rsidR="001220ED" w:rsidRDefault="001220ED">
      <w:pPr>
        <w:adjustRightInd w:val="0"/>
        <w:snapToGrid w:val="0"/>
        <w:spacing w:line="560" w:lineRule="exact"/>
        <w:rPr>
          <w:rFonts w:ascii="Times New Roman" w:hAnsi="Times New Roman"/>
          <w:sz w:val="24"/>
        </w:rPr>
      </w:pPr>
    </w:p>
    <w:p w14:paraId="4AED156D" w14:textId="77777777" w:rsidR="001220ED" w:rsidRPr="00567A16" w:rsidRDefault="007973D1">
      <w:pPr>
        <w:pBdr>
          <w:top w:val="single" w:sz="4" w:space="1" w:color="auto"/>
          <w:left w:val="single" w:sz="4" w:space="4" w:color="auto"/>
          <w:bottom w:val="single" w:sz="4" w:space="2" w:color="auto"/>
          <w:right w:val="single" w:sz="4" w:space="4" w:color="auto"/>
        </w:pBdr>
        <w:adjustRightInd w:val="0"/>
        <w:spacing w:line="560" w:lineRule="exact"/>
        <w:ind w:firstLineChars="200" w:firstLine="480"/>
        <w:rPr>
          <w:rFonts w:ascii="宋体" w:hAnsi="宋体"/>
          <w:color w:val="000000"/>
          <w:sz w:val="24"/>
          <w:szCs w:val="24"/>
        </w:rPr>
      </w:pPr>
      <w:r w:rsidRPr="00567A16">
        <w:rPr>
          <w:rFonts w:ascii="宋体" w:hAnsi="宋体"/>
          <w:color w:val="000000"/>
          <w:sz w:val="24"/>
          <w:szCs w:val="24"/>
        </w:rPr>
        <w:t>本公司董事会及全体董事保证本公告内容不存在任何虚假记载、误导性陈述或者重大遗漏，并对其内容的真实性、准确性和完整性承担法律责任。</w:t>
      </w:r>
    </w:p>
    <w:p w14:paraId="50979306" w14:textId="77777777" w:rsidR="001220ED" w:rsidRDefault="001220ED">
      <w:pPr>
        <w:adjustRightInd w:val="0"/>
        <w:snapToGrid w:val="0"/>
        <w:spacing w:line="560" w:lineRule="exact"/>
        <w:ind w:firstLineChars="200" w:firstLine="600"/>
        <w:rPr>
          <w:rFonts w:ascii="Times New Roman" w:eastAsia="仿宋_GB2312" w:hAnsi="Times New Roman"/>
          <w:bCs/>
          <w:sz w:val="30"/>
          <w:szCs w:val="30"/>
        </w:rPr>
      </w:pPr>
    </w:p>
    <w:p w14:paraId="61F02E23" w14:textId="77777777" w:rsidR="001220ED" w:rsidRPr="00567A16" w:rsidRDefault="007973D1">
      <w:pPr>
        <w:adjustRightInd w:val="0"/>
        <w:snapToGrid w:val="0"/>
        <w:spacing w:line="560" w:lineRule="exact"/>
        <w:ind w:firstLineChars="200" w:firstLine="482"/>
        <w:rPr>
          <w:rFonts w:ascii="宋体" w:hAnsi="宋体"/>
          <w:b/>
          <w:sz w:val="24"/>
          <w:szCs w:val="24"/>
        </w:rPr>
      </w:pPr>
      <w:r w:rsidRPr="00567A16">
        <w:rPr>
          <w:rFonts w:ascii="宋体" w:hAnsi="宋体"/>
          <w:b/>
          <w:sz w:val="24"/>
          <w:szCs w:val="24"/>
        </w:rPr>
        <w:t>重要内容提示：</w:t>
      </w:r>
    </w:p>
    <w:p w14:paraId="0DB094E6" w14:textId="77777777" w:rsidR="001220ED" w:rsidRPr="00567A16" w:rsidRDefault="007973D1" w:rsidP="00567A16">
      <w:pPr>
        <w:widowControl/>
        <w:numPr>
          <w:ilvl w:val="3"/>
          <w:numId w:val="1"/>
        </w:numPr>
        <w:tabs>
          <w:tab w:val="clear" w:pos="2218"/>
          <w:tab w:val="left" w:pos="1080"/>
        </w:tabs>
        <w:adjustRightInd w:val="0"/>
        <w:snapToGrid w:val="0"/>
        <w:spacing w:line="560" w:lineRule="exact"/>
        <w:ind w:left="0" w:firstLineChars="200" w:firstLine="480"/>
        <w:rPr>
          <w:rFonts w:ascii="宋体" w:hAnsi="宋体"/>
          <w:color w:val="000000"/>
          <w:sz w:val="24"/>
          <w:szCs w:val="24"/>
        </w:rPr>
      </w:pPr>
      <w:r w:rsidRPr="00567A16">
        <w:rPr>
          <w:rFonts w:ascii="宋体" w:hAnsi="宋体" w:hint="eastAsia"/>
          <w:color w:val="000000"/>
          <w:sz w:val="24"/>
          <w:szCs w:val="24"/>
        </w:rPr>
        <w:t>每股派发现金红利人民币 0.08</w:t>
      </w:r>
      <w:r w:rsidRPr="00567A16">
        <w:rPr>
          <w:rFonts w:ascii="宋体" w:hAnsi="宋体"/>
          <w:color w:val="000000"/>
          <w:sz w:val="24"/>
          <w:szCs w:val="24"/>
        </w:rPr>
        <w:t xml:space="preserve"> </w:t>
      </w:r>
      <w:r w:rsidRPr="00567A16">
        <w:rPr>
          <w:rFonts w:ascii="宋体" w:hAnsi="宋体" w:hint="eastAsia"/>
          <w:color w:val="000000"/>
          <w:sz w:val="24"/>
          <w:szCs w:val="24"/>
        </w:rPr>
        <w:t>元（含税），不以资本公积转增股本，不送红股。</w:t>
      </w:r>
    </w:p>
    <w:p w14:paraId="4A4CF626" w14:textId="2F84DC68" w:rsidR="001220ED" w:rsidRPr="00567A16" w:rsidRDefault="007973D1" w:rsidP="00567A16">
      <w:pPr>
        <w:widowControl/>
        <w:numPr>
          <w:ilvl w:val="3"/>
          <w:numId w:val="1"/>
        </w:numPr>
        <w:tabs>
          <w:tab w:val="clear" w:pos="2218"/>
          <w:tab w:val="left" w:pos="1080"/>
        </w:tabs>
        <w:adjustRightInd w:val="0"/>
        <w:snapToGrid w:val="0"/>
        <w:spacing w:line="560" w:lineRule="exact"/>
        <w:ind w:left="0" w:firstLineChars="200" w:firstLine="480"/>
        <w:rPr>
          <w:rFonts w:ascii="宋体" w:hAnsi="宋体"/>
          <w:color w:val="000000"/>
          <w:sz w:val="24"/>
          <w:szCs w:val="24"/>
        </w:rPr>
      </w:pPr>
      <w:r w:rsidRPr="00567A16">
        <w:rPr>
          <w:rFonts w:ascii="宋体" w:hAnsi="宋体" w:hint="eastAsia"/>
          <w:color w:val="000000"/>
          <w:sz w:val="24"/>
          <w:szCs w:val="24"/>
        </w:rPr>
        <w:t>本次利润分配以实施权益分派股权登记日登记的总股本为基数，具体日期将在权益分派实施公告中明确。在实施权益分派的股权登记日前公司总股本发生变动的，拟维持每股现金股利不变，相应调整现金派发总金额，并将另行公告具体调整情况。</w:t>
      </w:r>
    </w:p>
    <w:p w14:paraId="63CE6DC4" w14:textId="641E76F3" w:rsidR="001220ED" w:rsidRDefault="007973D1" w:rsidP="00E84409">
      <w:pPr>
        <w:widowControl/>
        <w:numPr>
          <w:ilvl w:val="3"/>
          <w:numId w:val="1"/>
        </w:numPr>
        <w:tabs>
          <w:tab w:val="clear" w:pos="2218"/>
          <w:tab w:val="left" w:pos="1080"/>
        </w:tabs>
        <w:adjustRightInd w:val="0"/>
        <w:snapToGrid w:val="0"/>
        <w:spacing w:line="560" w:lineRule="exact"/>
        <w:ind w:left="0" w:firstLineChars="200" w:firstLine="480"/>
        <w:rPr>
          <w:rFonts w:ascii="宋体" w:hAnsi="宋体"/>
          <w:color w:val="000000"/>
          <w:sz w:val="24"/>
          <w:szCs w:val="24"/>
        </w:rPr>
      </w:pPr>
      <w:r w:rsidRPr="00567A16">
        <w:rPr>
          <w:rFonts w:ascii="宋体" w:hAnsi="宋体" w:hint="eastAsia"/>
          <w:color w:val="000000"/>
          <w:sz w:val="24"/>
          <w:szCs w:val="24"/>
        </w:rPr>
        <w:t>本次利润分配方案不触及《上海证券交易所股票上市规则》（以下简称</w:t>
      </w:r>
      <w:r w:rsidR="00B841E6" w:rsidRPr="00567A16">
        <w:rPr>
          <w:rFonts w:ascii="宋体" w:hAnsi="宋体" w:hint="eastAsia"/>
          <w:color w:val="000000"/>
          <w:sz w:val="24"/>
          <w:szCs w:val="24"/>
        </w:rPr>
        <w:t>“</w:t>
      </w:r>
      <w:r w:rsidRPr="00567A16">
        <w:rPr>
          <w:rFonts w:ascii="宋体" w:hAnsi="宋体" w:hint="eastAsia"/>
          <w:color w:val="000000"/>
          <w:sz w:val="24"/>
          <w:szCs w:val="24"/>
        </w:rPr>
        <w:t>《股票上市规则》</w:t>
      </w:r>
      <w:r w:rsidR="00B841E6" w:rsidRPr="00567A16">
        <w:rPr>
          <w:rFonts w:ascii="宋体" w:hAnsi="宋体" w:hint="eastAsia"/>
          <w:color w:val="000000"/>
          <w:sz w:val="24"/>
          <w:szCs w:val="24"/>
        </w:rPr>
        <w:t>”</w:t>
      </w:r>
      <w:r w:rsidRPr="00567A16">
        <w:rPr>
          <w:rFonts w:ascii="宋体" w:hAnsi="宋体" w:hint="eastAsia"/>
          <w:color w:val="000000"/>
          <w:sz w:val="24"/>
          <w:szCs w:val="24"/>
        </w:rPr>
        <w:t>）第9.8.1条第一款第（八）项规定的可能被实施其他风险警示的情形。</w:t>
      </w:r>
    </w:p>
    <w:p w14:paraId="7FC63ECF" w14:textId="77777777" w:rsidR="00E84409" w:rsidRPr="00E84409" w:rsidRDefault="00E84409" w:rsidP="00E84409">
      <w:pPr>
        <w:widowControl/>
        <w:tabs>
          <w:tab w:val="left" w:pos="1080"/>
        </w:tabs>
        <w:adjustRightInd w:val="0"/>
        <w:snapToGrid w:val="0"/>
        <w:spacing w:line="560" w:lineRule="exact"/>
        <w:ind w:left="480"/>
        <w:rPr>
          <w:rFonts w:ascii="宋体" w:hAnsi="宋体"/>
          <w:color w:val="000000"/>
          <w:sz w:val="24"/>
          <w:szCs w:val="24"/>
        </w:rPr>
      </w:pPr>
    </w:p>
    <w:p w14:paraId="0155EA06" w14:textId="77777777" w:rsidR="001220ED" w:rsidRPr="00567A16" w:rsidRDefault="007973D1">
      <w:pPr>
        <w:autoSpaceDE w:val="0"/>
        <w:autoSpaceDN w:val="0"/>
        <w:adjustRightInd w:val="0"/>
        <w:snapToGrid w:val="0"/>
        <w:spacing w:line="560" w:lineRule="exact"/>
        <w:ind w:firstLineChars="200" w:firstLine="482"/>
        <w:rPr>
          <w:rFonts w:ascii="宋体" w:hAnsi="宋体"/>
          <w:b/>
          <w:sz w:val="24"/>
          <w:szCs w:val="24"/>
        </w:rPr>
      </w:pPr>
      <w:r w:rsidRPr="00567A16">
        <w:rPr>
          <w:rFonts w:ascii="宋体" w:hAnsi="宋体"/>
          <w:b/>
          <w:sz w:val="24"/>
          <w:szCs w:val="24"/>
        </w:rPr>
        <w:t>一、利润分配方案内容</w:t>
      </w:r>
    </w:p>
    <w:p w14:paraId="0381F387" w14:textId="502FBB33" w:rsidR="001220ED" w:rsidRPr="00567A16" w:rsidRDefault="007973D1" w:rsidP="005C57AA">
      <w:pPr>
        <w:autoSpaceDE w:val="0"/>
        <w:autoSpaceDN w:val="0"/>
        <w:adjustRightInd w:val="0"/>
        <w:snapToGrid w:val="0"/>
        <w:spacing w:line="560" w:lineRule="exact"/>
        <w:ind w:firstLineChars="200" w:firstLine="480"/>
        <w:rPr>
          <w:rFonts w:ascii="宋体" w:hAnsi="宋体"/>
          <w:color w:val="000000"/>
          <w:sz w:val="24"/>
          <w:szCs w:val="24"/>
        </w:rPr>
      </w:pPr>
      <w:r w:rsidRPr="00567A16">
        <w:rPr>
          <w:rFonts w:ascii="宋体" w:hAnsi="宋体" w:hint="eastAsia"/>
          <w:color w:val="000000"/>
          <w:sz w:val="24"/>
          <w:szCs w:val="24"/>
        </w:rPr>
        <w:t>截至2025年6月30日，公司母公司报表中期末未分配利润为人民币</w:t>
      </w:r>
      <w:r w:rsidR="00E2390D" w:rsidRPr="00567A16">
        <w:rPr>
          <w:rFonts w:ascii="宋体" w:hAnsi="宋体"/>
          <w:color w:val="000000"/>
          <w:sz w:val="24"/>
          <w:szCs w:val="24"/>
        </w:rPr>
        <w:t>351,191,422.78</w:t>
      </w:r>
      <w:r w:rsidRPr="00567A16">
        <w:rPr>
          <w:rFonts w:ascii="宋体" w:hAnsi="宋体" w:hint="eastAsia"/>
          <w:color w:val="000000"/>
          <w:sz w:val="24"/>
          <w:szCs w:val="24"/>
        </w:rPr>
        <w:t>元</w:t>
      </w:r>
      <w:r w:rsidR="005C57AA" w:rsidRPr="00567A16">
        <w:rPr>
          <w:rFonts w:ascii="宋体" w:hAnsi="宋体" w:hint="eastAsia"/>
          <w:color w:val="000000"/>
          <w:sz w:val="24"/>
          <w:szCs w:val="24"/>
        </w:rPr>
        <w:t>，</w:t>
      </w:r>
      <w:r w:rsidR="002A02DB" w:rsidRPr="00567A16">
        <w:rPr>
          <w:rFonts w:ascii="宋体" w:hAnsi="宋体" w:hint="eastAsia"/>
          <w:color w:val="000000"/>
          <w:sz w:val="24"/>
          <w:szCs w:val="24"/>
        </w:rPr>
        <w:t>公司合并报表中期末未分配利润为人民币</w:t>
      </w:r>
      <w:r w:rsidR="002A02DB" w:rsidRPr="00567A16">
        <w:rPr>
          <w:rFonts w:ascii="宋体" w:hAnsi="宋体"/>
          <w:color w:val="000000"/>
          <w:sz w:val="24"/>
          <w:szCs w:val="24"/>
        </w:rPr>
        <w:t>520,099,489.68</w:t>
      </w:r>
      <w:r w:rsidR="002A02DB" w:rsidRPr="00567A16">
        <w:rPr>
          <w:rFonts w:ascii="宋体" w:hAnsi="宋体" w:hint="eastAsia"/>
          <w:color w:val="000000"/>
          <w:sz w:val="24"/>
          <w:szCs w:val="24"/>
        </w:rPr>
        <w:t>元，</w:t>
      </w:r>
      <w:r w:rsidR="005C57AA" w:rsidRPr="00567A16">
        <w:rPr>
          <w:rFonts w:ascii="宋体" w:hAnsi="宋体" w:hint="eastAsia"/>
          <w:color w:val="000000"/>
          <w:sz w:val="24"/>
          <w:szCs w:val="24"/>
        </w:rPr>
        <w:t>根据合并报表、母公司报表中可供分配利润孰低原则，公司 2025 年半年度可供股东分配的利润为</w:t>
      </w:r>
      <w:r w:rsidR="00E2390D" w:rsidRPr="00567A16">
        <w:rPr>
          <w:rFonts w:ascii="宋体" w:hAnsi="宋体"/>
          <w:color w:val="000000"/>
          <w:sz w:val="24"/>
          <w:szCs w:val="24"/>
        </w:rPr>
        <w:t>351,191,422.78</w:t>
      </w:r>
      <w:r w:rsidR="005C57AA" w:rsidRPr="00567A16">
        <w:rPr>
          <w:rFonts w:ascii="宋体" w:hAnsi="宋体" w:hint="eastAsia"/>
          <w:color w:val="000000"/>
          <w:sz w:val="24"/>
          <w:szCs w:val="24"/>
        </w:rPr>
        <w:t>元</w:t>
      </w:r>
      <w:r w:rsidR="00BF6A3D" w:rsidRPr="00567A16">
        <w:rPr>
          <w:rFonts w:ascii="宋体" w:hAnsi="宋体" w:hint="eastAsia"/>
          <w:color w:val="000000"/>
          <w:sz w:val="24"/>
          <w:szCs w:val="24"/>
        </w:rPr>
        <w:t>(以上数据均未经审计)</w:t>
      </w:r>
      <w:r w:rsidRPr="00567A16">
        <w:rPr>
          <w:rFonts w:ascii="宋体" w:hAnsi="宋体" w:hint="eastAsia"/>
          <w:color w:val="000000"/>
          <w:sz w:val="24"/>
          <w:szCs w:val="24"/>
        </w:rPr>
        <w:t>。经董事会决议，公司2025年半年度拟以实施权益分派股权登记日登记的总股本为基数分配利润。</w:t>
      </w:r>
      <w:r w:rsidRPr="00567A16">
        <w:rPr>
          <w:rFonts w:ascii="宋体" w:hAnsi="宋体" w:hint="eastAsia"/>
          <w:color w:val="000000"/>
          <w:sz w:val="24"/>
          <w:szCs w:val="24"/>
        </w:rPr>
        <w:lastRenderedPageBreak/>
        <w:t>本次利润分配方案如下：</w:t>
      </w:r>
    </w:p>
    <w:p w14:paraId="2B683A2A" w14:textId="19F78CB8" w:rsidR="001220ED" w:rsidRPr="00567A16" w:rsidRDefault="007973D1">
      <w:pPr>
        <w:autoSpaceDE w:val="0"/>
        <w:autoSpaceDN w:val="0"/>
        <w:adjustRightInd w:val="0"/>
        <w:snapToGrid w:val="0"/>
        <w:spacing w:line="560" w:lineRule="exact"/>
        <w:ind w:firstLineChars="200" w:firstLine="480"/>
        <w:rPr>
          <w:rFonts w:ascii="宋体" w:hAnsi="宋体"/>
          <w:color w:val="000000"/>
          <w:sz w:val="24"/>
          <w:szCs w:val="24"/>
        </w:rPr>
      </w:pPr>
      <w:r w:rsidRPr="00567A16">
        <w:rPr>
          <w:rFonts w:ascii="宋体" w:hAnsi="宋体" w:hint="eastAsia"/>
          <w:color w:val="000000"/>
          <w:sz w:val="24"/>
          <w:szCs w:val="24"/>
        </w:rPr>
        <w:t>公司拟向全体股东每股派发现金红利0.08元（含税）。截至2025年6月30日，公司总股本100,448,700股，以此计算合计拟派发现金红利8,035,896.00元（含税）, 剩余未分配利润结转以后年度分配。</w:t>
      </w:r>
    </w:p>
    <w:p w14:paraId="5F7221CB" w14:textId="10DB4AFD" w:rsidR="001220ED" w:rsidRPr="00567A16" w:rsidRDefault="007973D1">
      <w:pPr>
        <w:autoSpaceDE w:val="0"/>
        <w:autoSpaceDN w:val="0"/>
        <w:adjustRightInd w:val="0"/>
        <w:snapToGrid w:val="0"/>
        <w:spacing w:line="560" w:lineRule="exact"/>
        <w:ind w:firstLineChars="200" w:firstLine="480"/>
        <w:rPr>
          <w:rFonts w:ascii="宋体" w:hAnsi="宋体"/>
          <w:color w:val="000000"/>
          <w:sz w:val="24"/>
          <w:szCs w:val="24"/>
        </w:rPr>
      </w:pPr>
      <w:r w:rsidRPr="00567A16">
        <w:rPr>
          <w:rFonts w:ascii="宋体" w:hAnsi="宋体" w:hint="eastAsia"/>
          <w:color w:val="000000"/>
          <w:sz w:val="24"/>
          <w:szCs w:val="24"/>
        </w:rPr>
        <w:t>在利润分配方案披露之日起至实施权益分派股权登记日期间，如果公司总股本发生变动的，拟维持每股现金股利不变，相应调整现金派发总金额。</w:t>
      </w:r>
    </w:p>
    <w:p w14:paraId="7260A778" w14:textId="77777777" w:rsidR="001220ED" w:rsidRPr="00567A16" w:rsidRDefault="007973D1">
      <w:pPr>
        <w:autoSpaceDE w:val="0"/>
        <w:autoSpaceDN w:val="0"/>
        <w:adjustRightInd w:val="0"/>
        <w:snapToGrid w:val="0"/>
        <w:spacing w:line="560" w:lineRule="exact"/>
        <w:ind w:firstLineChars="200" w:firstLine="480"/>
        <w:rPr>
          <w:rFonts w:ascii="宋体" w:hAnsi="宋体"/>
          <w:color w:val="000000"/>
          <w:sz w:val="24"/>
          <w:szCs w:val="24"/>
        </w:rPr>
      </w:pPr>
      <w:r w:rsidRPr="00567A16">
        <w:rPr>
          <w:rFonts w:ascii="宋体" w:hAnsi="宋体" w:hint="eastAsia"/>
          <w:color w:val="000000"/>
          <w:sz w:val="24"/>
          <w:szCs w:val="24"/>
        </w:rPr>
        <w:t>本次利润分配方案无需提交公司股东会审议。</w:t>
      </w:r>
    </w:p>
    <w:p w14:paraId="343978D6" w14:textId="77777777" w:rsidR="001220ED" w:rsidRPr="00567A16" w:rsidRDefault="007973D1">
      <w:pPr>
        <w:autoSpaceDE w:val="0"/>
        <w:autoSpaceDN w:val="0"/>
        <w:adjustRightInd w:val="0"/>
        <w:snapToGrid w:val="0"/>
        <w:spacing w:line="560" w:lineRule="exact"/>
        <w:ind w:firstLineChars="200" w:firstLine="482"/>
        <w:rPr>
          <w:rFonts w:ascii="宋体" w:hAnsi="宋体"/>
          <w:b/>
          <w:sz w:val="24"/>
          <w:szCs w:val="24"/>
        </w:rPr>
      </w:pPr>
      <w:r w:rsidRPr="00567A16">
        <w:rPr>
          <w:rFonts w:ascii="宋体" w:hAnsi="宋体" w:hint="eastAsia"/>
          <w:b/>
          <w:sz w:val="24"/>
          <w:szCs w:val="24"/>
        </w:rPr>
        <w:t>二</w:t>
      </w:r>
      <w:r w:rsidRPr="00567A16">
        <w:rPr>
          <w:rFonts w:ascii="宋体" w:hAnsi="宋体"/>
          <w:b/>
          <w:sz w:val="24"/>
          <w:szCs w:val="24"/>
        </w:rPr>
        <w:t>、公司履行的决策程序</w:t>
      </w:r>
    </w:p>
    <w:p w14:paraId="3D8A3271" w14:textId="48DE3B6C" w:rsidR="001220ED" w:rsidRPr="00567A16" w:rsidRDefault="007973D1">
      <w:pPr>
        <w:autoSpaceDE w:val="0"/>
        <w:autoSpaceDN w:val="0"/>
        <w:adjustRightInd w:val="0"/>
        <w:snapToGrid w:val="0"/>
        <w:spacing w:line="560" w:lineRule="exact"/>
        <w:ind w:firstLineChars="200" w:firstLine="482"/>
        <w:rPr>
          <w:rFonts w:ascii="宋体" w:hAnsi="宋体"/>
          <w:b/>
          <w:color w:val="000000"/>
          <w:kern w:val="0"/>
          <w:sz w:val="24"/>
          <w:szCs w:val="24"/>
        </w:rPr>
      </w:pPr>
      <w:r w:rsidRPr="00567A16">
        <w:rPr>
          <w:rFonts w:ascii="宋体" w:hAnsi="宋体" w:hint="eastAsia"/>
          <w:b/>
          <w:color w:val="000000"/>
          <w:kern w:val="0"/>
          <w:sz w:val="24"/>
          <w:szCs w:val="24"/>
        </w:rPr>
        <w:t>（一）股东会授权情况</w:t>
      </w:r>
    </w:p>
    <w:p w14:paraId="398FA02D" w14:textId="5CDD0B1C" w:rsidR="001220ED" w:rsidRPr="00567A16" w:rsidRDefault="007973D1">
      <w:pPr>
        <w:autoSpaceDE w:val="0"/>
        <w:autoSpaceDN w:val="0"/>
        <w:adjustRightInd w:val="0"/>
        <w:snapToGrid w:val="0"/>
        <w:spacing w:line="560" w:lineRule="exact"/>
        <w:ind w:firstLineChars="200" w:firstLine="480"/>
        <w:rPr>
          <w:rFonts w:ascii="宋体" w:hAnsi="宋体"/>
          <w:color w:val="000000"/>
          <w:sz w:val="24"/>
          <w:szCs w:val="24"/>
        </w:rPr>
      </w:pPr>
      <w:r w:rsidRPr="00567A16">
        <w:rPr>
          <w:rFonts w:ascii="宋体" w:hAnsi="宋体" w:hint="eastAsia"/>
          <w:color w:val="000000"/>
          <w:sz w:val="24"/>
          <w:szCs w:val="24"/>
        </w:rPr>
        <w:t>公司于</w:t>
      </w:r>
      <w:r w:rsidR="00F73CC7">
        <w:rPr>
          <w:rFonts w:ascii="宋体" w:hAnsi="宋体"/>
          <w:color w:val="000000"/>
          <w:sz w:val="24"/>
          <w:szCs w:val="24"/>
        </w:rPr>
        <w:t>2025</w:t>
      </w:r>
      <w:r w:rsidRPr="00567A16">
        <w:rPr>
          <w:rFonts w:ascii="宋体" w:hAnsi="宋体" w:hint="eastAsia"/>
          <w:color w:val="000000"/>
          <w:sz w:val="24"/>
          <w:szCs w:val="24"/>
        </w:rPr>
        <w:t>年</w:t>
      </w:r>
      <w:r w:rsidR="00FD506D">
        <w:rPr>
          <w:rFonts w:ascii="宋体" w:hAnsi="宋体"/>
          <w:color w:val="000000"/>
          <w:sz w:val="24"/>
          <w:szCs w:val="24"/>
        </w:rPr>
        <w:t>5</w:t>
      </w:r>
      <w:r w:rsidRPr="00567A16">
        <w:rPr>
          <w:rFonts w:ascii="宋体" w:hAnsi="宋体" w:hint="eastAsia"/>
          <w:color w:val="000000"/>
          <w:sz w:val="24"/>
          <w:szCs w:val="24"/>
        </w:rPr>
        <w:t>月</w:t>
      </w:r>
      <w:r w:rsidR="00FD506D">
        <w:rPr>
          <w:rFonts w:ascii="宋体" w:hAnsi="宋体" w:hint="eastAsia"/>
          <w:color w:val="000000"/>
          <w:sz w:val="24"/>
          <w:szCs w:val="24"/>
        </w:rPr>
        <w:t>2</w:t>
      </w:r>
      <w:r w:rsidR="00FD506D">
        <w:rPr>
          <w:rFonts w:ascii="宋体" w:hAnsi="宋体"/>
          <w:color w:val="000000"/>
          <w:sz w:val="24"/>
          <w:szCs w:val="24"/>
        </w:rPr>
        <w:t>2</w:t>
      </w:r>
      <w:r w:rsidRPr="00567A16">
        <w:rPr>
          <w:rFonts w:ascii="宋体" w:hAnsi="宋体" w:hint="eastAsia"/>
          <w:color w:val="000000"/>
          <w:sz w:val="24"/>
          <w:szCs w:val="24"/>
        </w:rPr>
        <w:t>日召开</w:t>
      </w:r>
      <w:r w:rsidR="00F73CC7">
        <w:rPr>
          <w:rFonts w:ascii="宋体" w:hAnsi="宋体"/>
          <w:color w:val="000000"/>
          <w:sz w:val="24"/>
          <w:szCs w:val="24"/>
        </w:rPr>
        <w:t>2024</w:t>
      </w:r>
      <w:r w:rsidR="00F73CC7">
        <w:rPr>
          <w:rFonts w:ascii="宋体" w:hAnsi="宋体" w:hint="eastAsia"/>
          <w:color w:val="000000"/>
          <w:sz w:val="24"/>
          <w:szCs w:val="24"/>
        </w:rPr>
        <w:t>年年度股东会，</w:t>
      </w:r>
      <w:r w:rsidRPr="00567A16">
        <w:rPr>
          <w:rFonts w:ascii="宋体" w:hAnsi="宋体" w:hint="eastAsia"/>
          <w:color w:val="000000"/>
          <w:sz w:val="24"/>
          <w:szCs w:val="24"/>
        </w:rPr>
        <w:t>审议通过了《关于</w:t>
      </w:r>
      <w:r w:rsidR="00FD506D">
        <w:rPr>
          <w:rFonts w:ascii="宋体" w:hAnsi="宋体" w:hint="eastAsia"/>
          <w:color w:val="000000"/>
          <w:sz w:val="24"/>
          <w:szCs w:val="24"/>
        </w:rPr>
        <w:t>202</w:t>
      </w:r>
      <w:r w:rsidR="00FD506D">
        <w:rPr>
          <w:rFonts w:ascii="宋体" w:hAnsi="宋体"/>
          <w:color w:val="000000"/>
          <w:sz w:val="24"/>
          <w:szCs w:val="24"/>
        </w:rPr>
        <w:t>4</w:t>
      </w:r>
      <w:r w:rsidRPr="00567A16">
        <w:rPr>
          <w:rFonts w:ascii="宋体" w:hAnsi="宋体" w:hint="eastAsia"/>
          <w:color w:val="000000"/>
          <w:sz w:val="24"/>
          <w:szCs w:val="24"/>
        </w:rPr>
        <w:t>年度拟不进行利润分配暨关于提请股东会授权董事会制定2025年中期分红方案的议案》，授权董事会在满足中期分红条件的前提下，制定并实施公司</w:t>
      </w:r>
      <w:r w:rsidR="00FD506D">
        <w:rPr>
          <w:rFonts w:ascii="宋体" w:hAnsi="宋体"/>
          <w:color w:val="000000"/>
          <w:sz w:val="24"/>
          <w:szCs w:val="24"/>
        </w:rPr>
        <w:t>2025</w:t>
      </w:r>
      <w:r w:rsidRPr="00567A16">
        <w:rPr>
          <w:rFonts w:ascii="宋体" w:hAnsi="宋体" w:hint="eastAsia"/>
          <w:color w:val="000000"/>
          <w:sz w:val="24"/>
          <w:szCs w:val="24"/>
        </w:rPr>
        <w:t>年度中期分红方案。</w:t>
      </w:r>
    </w:p>
    <w:p w14:paraId="7CDACFEE" w14:textId="77777777" w:rsidR="001220ED" w:rsidRPr="00567A16" w:rsidRDefault="007973D1">
      <w:pPr>
        <w:autoSpaceDE w:val="0"/>
        <w:autoSpaceDN w:val="0"/>
        <w:adjustRightInd w:val="0"/>
        <w:snapToGrid w:val="0"/>
        <w:spacing w:line="560" w:lineRule="exact"/>
        <w:ind w:firstLineChars="200" w:firstLine="482"/>
        <w:rPr>
          <w:rFonts w:ascii="宋体" w:hAnsi="宋体"/>
          <w:b/>
          <w:color w:val="000000"/>
          <w:kern w:val="0"/>
          <w:sz w:val="24"/>
          <w:szCs w:val="24"/>
        </w:rPr>
      </w:pPr>
      <w:r w:rsidRPr="00567A16">
        <w:rPr>
          <w:rFonts w:ascii="宋体" w:hAnsi="宋体" w:hint="eastAsia"/>
          <w:b/>
          <w:color w:val="000000"/>
          <w:kern w:val="0"/>
          <w:sz w:val="24"/>
          <w:szCs w:val="24"/>
        </w:rPr>
        <w:t>（二）董事会会议的召开、审议和表决情况</w:t>
      </w:r>
    </w:p>
    <w:p w14:paraId="1BBC4230" w14:textId="228F3D33" w:rsidR="001220ED" w:rsidRPr="00567A16" w:rsidRDefault="007973D1">
      <w:pPr>
        <w:autoSpaceDE w:val="0"/>
        <w:autoSpaceDN w:val="0"/>
        <w:adjustRightInd w:val="0"/>
        <w:snapToGrid w:val="0"/>
        <w:spacing w:line="560" w:lineRule="exact"/>
        <w:ind w:firstLineChars="200" w:firstLine="480"/>
        <w:rPr>
          <w:rFonts w:ascii="宋体" w:hAnsi="宋体"/>
          <w:color w:val="000000"/>
          <w:sz w:val="24"/>
          <w:szCs w:val="24"/>
        </w:rPr>
      </w:pPr>
      <w:r w:rsidRPr="00567A16">
        <w:rPr>
          <w:rFonts w:ascii="宋体" w:hAnsi="宋体" w:hint="eastAsia"/>
          <w:color w:val="000000"/>
          <w:sz w:val="24"/>
          <w:szCs w:val="24"/>
        </w:rPr>
        <w:t>公司于</w:t>
      </w:r>
      <w:r w:rsidR="00F73CC7">
        <w:rPr>
          <w:rFonts w:ascii="宋体" w:hAnsi="宋体" w:hint="eastAsia"/>
          <w:color w:val="000000"/>
          <w:sz w:val="24"/>
          <w:szCs w:val="24"/>
        </w:rPr>
        <w:t>2025</w:t>
      </w:r>
      <w:r w:rsidRPr="00567A16">
        <w:rPr>
          <w:rFonts w:ascii="宋体" w:hAnsi="宋体" w:hint="eastAsia"/>
          <w:color w:val="000000"/>
          <w:sz w:val="24"/>
          <w:szCs w:val="24"/>
        </w:rPr>
        <w:t>年</w:t>
      </w:r>
      <w:r w:rsidR="00F73CC7">
        <w:rPr>
          <w:rFonts w:ascii="宋体" w:hAnsi="宋体" w:hint="eastAsia"/>
          <w:color w:val="000000"/>
          <w:sz w:val="24"/>
          <w:szCs w:val="24"/>
        </w:rPr>
        <w:t>8</w:t>
      </w:r>
      <w:r w:rsidRPr="00567A16">
        <w:rPr>
          <w:rFonts w:ascii="宋体" w:hAnsi="宋体" w:hint="eastAsia"/>
          <w:color w:val="000000"/>
          <w:sz w:val="24"/>
          <w:szCs w:val="24"/>
        </w:rPr>
        <w:t>月</w:t>
      </w:r>
      <w:r w:rsidR="00F73CC7">
        <w:rPr>
          <w:rFonts w:ascii="宋体" w:hAnsi="宋体" w:hint="eastAsia"/>
          <w:color w:val="000000"/>
          <w:sz w:val="24"/>
          <w:szCs w:val="24"/>
        </w:rPr>
        <w:t>27</w:t>
      </w:r>
      <w:r w:rsidRPr="00567A16">
        <w:rPr>
          <w:rFonts w:ascii="宋体" w:hAnsi="宋体" w:hint="eastAsia"/>
          <w:color w:val="000000"/>
          <w:sz w:val="24"/>
          <w:szCs w:val="24"/>
        </w:rPr>
        <w:t>日召开第三届董事会第二十一次会议，审议通过了上述利润分配方案。此次利润分配方案符合相关法律法规以及经公司</w:t>
      </w:r>
      <w:r w:rsidR="00FD506D">
        <w:rPr>
          <w:rFonts w:ascii="宋体" w:hAnsi="宋体"/>
          <w:color w:val="000000"/>
          <w:sz w:val="24"/>
          <w:szCs w:val="24"/>
        </w:rPr>
        <w:t>2024</w:t>
      </w:r>
      <w:r w:rsidRPr="00567A16">
        <w:rPr>
          <w:rFonts w:ascii="宋体" w:hAnsi="宋体" w:hint="eastAsia"/>
          <w:color w:val="000000"/>
          <w:sz w:val="24"/>
          <w:szCs w:val="24"/>
        </w:rPr>
        <w:t>年年度股东会审议通过的《关于</w:t>
      </w:r>
      <w:r w:rsidR="00FD506D">
        <w:rPr>
          <w:rFonts w:ascii="宋体" w:hAnsi="宋体"/>
          <w:color w:val="000000"/>
          <w:sz w:val="24"/>
          <w:szCs w:val="24"/>
        </w:rPr>
        <w:t>2024</w:t>
      </w:r>
      <w:r w:rsidRPr="00567A16">
        <w:rPr>
          <w:rFonts w:ascii="宋体" w:hAnsi="宋体" w:hint="eastAsia"/>
          <w:color w:val="000000"/>
          <w:sz w:val="24"/>
          <w:szCs w:val="24"/>
        </w:rPr>
        <w:t>年度拟不进行利润分配暨关于提请股东会授权董事会制定</w:t>
      </w:r>
      <w:r w:rsidRPr="00567A16">
        <w:rPr>
          <w:rFonts w:ascii="宋体" w:hAnsi="宋体"/>
          <w:color w:val="000000"/>
          <w:sz w:val="24"/>
          <w:szCs w:val="24"/>
        </w:rPr>
        <w:t>2025年中期分红方案的议案》。</w:t>
      </w:r>
    </w:p>
    <w:p w14:paraId="2043F46B" w14:textId="77777777" w:rsidR="001220ED" w:rsidRPr="00567A16" w:rsidRDefault="007973D1">
      <w:pPr>
        <w:autoSpaceDE w:val="0"/>
        <w:autoSpaceDN w:val="0"/>
        <w:adjustRightInd w:val="0"/>
        <w:snapToGrid w:val="0"/>
        <w:spacing w:line="560" w:lineRule="exact"/>
        <w:ind w:firstLineChars="200" w:firstLine="482"/>
        <w:rPr>
          <w:rFonts w:ascii="宋体" w:hAnsi="宋体"/>
          <w:b/>
          <w:color w:val="000000"/>
          <w:kern w:val="0"/>
          <w:sz w:val="24"/>
          <w:szCs w:val="24"/>
        </w:rPr>
      </w:pPr>
      <w:r w:rsidRPr="00567A16">
        <w:rPr>
          <w:rFonts w:ascii="宋体" w:hAnsi="宋体" w:hint="eastAsia"/>
          <w:b/>
          <w:color w:val="000000"/>
          <w:kern w:val="0"/>
          <w:sz w:val="24"/>
          <w:szCs w:val="24"/>
        </w:rPr>
        <w:t>（三）监事会意见</w:t>
      </w:r>
    </w:p>
    <w:p w14:paraId="73421B08" w14:textId="36951A25" w:rsidR="001220ED" w:rsidRPr="00567A16" w:rsidRDefault="007973D1" w:rsidP="00567A16">
      <w:pPr>
        <w:autoSpaceDE w:val="0"/>
        <w:autoSpaceDN w:val="0"/>
        <w:adjustRightInd w:val="0"/>
        <w:snapToGrid w:val="0"/>
        <w:spacing w:line="560" w:lineRule="exact"/>
        <w:ind w:firstLineChars="200" w:firstLine="480"/>
        <w:rPr>
          <w:rFonts w:ascii="宋体" w:hAnsi="宋体"/>
          <w:color w:val="000000"/>
          <w:sz w:val="24"/>
          <w:szCs w:val="24"/>
        </w:rPr>
      </w:pPr>
      <w:r w:rsidRPr="00567A16">
        <w:rPr>
          <w:rFonts w:ascii="宋体" w:hAnsi="宋体" w:hint="eastAsia"/>
          <w:color w:val="000000"/>
          <w:sz w:val="24"/>
          <w:szCs w:val="24"/>
        </w:rPr>
        <w:t>监事会审核并发表如下意见：公司</w:t>
      </w:r>
      <w:r w:rsidR="00FD506D">
        <w:rPr>
          <w:rFonts w:ascii="宋体" w:hAnsi="宋体" w:hint="eastAsia"/>
          <w:color w:val="000000"/>
          <w:sz w:val="24"/>
          <w:szCs w:val="24"/>
        </w:rPr>
        <w:t>2025</w:t>
      </w:r>
      <w:r w:rsidRPr="00567A16">
        <w:rPr>
          <w:rFonts w:ascii="宋体" w:hAnsi="宋体" w:hint="eastAsia"/>
          <w:color w:val="000000"/>
          <w:sz w:val="24"/>
          <w:szCs w:val="24"/>
        </w:rPr>
        <w:t>年中期利润分配方案综合考虑了公司的经营及财务状况、经营业绩、发展前景和未来增长潜力，平衡公司长远经营发展以及与股东分享公司经营成果的利益，符合法律、法规、规范性文件的规定及公司的实际情况，符合股东的整体利益和长远利益，有利于公司的持续、稳定、健康发展。因此，同意此次利润分配方案。</w:t>
      </w:r>
    </w:p>
    <w:p w14:paraId="09F20D6A" w14:textId="77777777" w:rsidR="001220ED" w:rsidRPr="00567A16" w:rsidRDefault="007973D1">
      <w:pPr>
        <w:autoSpaceDE w:val="0"/>
        <w:autoSpaceDN w:val="0"/>
        <w:adjustRightInd w:val="0"/>
        <w:snapToGrid w:val="0"/>
        <w:spacing w:line="560" w:lineRule="exact"/>
        <w:ind w:firstLineChars="200" w:firstLine="482"/>
        <w:rPr>
          <w:rFonts w:ascii="宋体" w:hAnsi="宋体"/>
          <w:b/>
          <w:sz w:val="24"/>
          <w:szCs w:val="24"/>
        </w:rPr>
      </w:pPr>
      <w:r w:rsidRPr="00567A16">
        <w:rPr>
          <w:rFonts w:ascii="宋体" w:hAnsi="宋体" w:hint="eastAsia"/>
          <w:b/>
          <w:sz w:val="24"/>
          <w:szCs w:val="24"/>
        </w:rPr>
        <w:lastRenderedPageBreak/>
        <w:t>三</w:t>
      </w:r>
      <w:r w:rsidRPr="00567A16">
        <w:rPr>
          <w:rFonts w:ascii="宋体" w:hAnsi="宋体"/>
          <w:b/>
          <w:sz w:val="24"/>
          <w:szCs w:val="24"/>
        </w:rPr>
        <w:t>、相关风险提示</w:t>
      </w:r>
    </w:p>
    <w:p w14:paraId="50210191" w14:textId="190CA122" w:rsidR="001220ED" w:rsidRPr="00567A16" w:rsidRDefault="007973D1">
      <w:pPr>
        <w:autoSpaceDE w:val="0"/>
        <w:autoSpaceDN w:val="0"/>
        <w:adjustRightInd w:val="0"/>
        <w:snapToGrid w:val="0"/>
        <w:spacing w:line="560" w:lineRule="exact"/>
        <w:ind w:firstLineChars="200" w:firstLine="480"/>
        <w:rPr>
          <w:rFonts w:ascii="宋体" w:hAnsi="宋体"/>
          <w:color w:val="000000"/>
          <w:sz w:val="24"/>
          <w:szCs w:val="24"/>
        </w:rPr>
      </w:pPr>
      <w:r w:rsidRPr="00567A16">
        <w:rPr>
          <w:rFonts w:ascii="宋体" w:hAnsi="宋体" w:hint="eastAsia"/>
          <w:color w:val="000000"/>
          <w:sz w:val="24"/>
          <w:szCs w:val="24"/>
        </w:rPr>
        <w:t>此次利润分配方案结合了公司发展阶段、未来的资金需求等因素，不会对公司经营现金流产生重大影响，不会影响公司正常经营和长期发展。</w:t>
      </w:r>
      <w:r w:rsidR="00B841E6" w:rsidRPr="00567A16">
        <w:rPr>
          <w:rFonts w:ascii="宋体" w:hAnsi="宋体" w:hint="eastAsia"/>
          <w:color w:val="000000"/>
          <w:sz w:val="24"/>
          <w:szCs w:val="24"/>
        </w:rPr>
        <w:t>敬请投资者注意投资风险。</w:t>
      </w:r>
    </w:p>
    <w:p w14:paraId="1D45E754" w14:textId="77777777" w:rsidR="001220ED" w:rsidRDefault="001220ED">
      <w:pPr>
        <w:autoSpaceDE w:val="0"/>
        <w:autoSpaceDN w:val="0"/>
        <w:adjustRightInd w:val="0"/>
        <w:snapToGrid w:val="0"/>
        <w:spacing w:line="560" w:lineRule="exact"/>
        <w:ind w:firstLineChars="200" w:firstLine="600"/>
        <w:rPr>
          <w:rFonts w:ascii="Times New Roman" w:eastAsia="仿宋_GB2312" w:hAnsi="Times New Roman"/>
          <w:color w:val="000000"/>
          <w:kern w:val="0"/>
          <w:sz w:val="30"/>
          <w:szCs w:val="30"/>
        </w:rPr>
      </w:pPr>
    </w:p>
    <w:p w14:paraId="1DC83837" w14:textId="77777777" w:rsidR="001220ED" w:rsidRPr="00567A16" w:rsidRDefault="007973D1">
      <w:pPr>
        <w:autoSpaceDE w:val="0"/>
        <w:autoSpaceDN w:val="0"/>
        <w:adjustRightInd w:val="0"/>
        <w:snapToGrid w:val="0"/>
        <w:spacing w:line="560" w:lineRule="exact"/>
        <w:ind w:firstLineChars="200" w:firstLine="480"/>
        <w:rPr>
          <w:rFonts w:ascii="宋体" w:hAnsi="宋体"/>
          <w:color w:val="000000"/>
          <w:sz w:val="24"/>
          <w:szCs w:val="24"/>
        </w:rPr>
      </w:pPr>
      <w:r w:rsidRPr="00567A16">
        <w:rPr>
          <w:rFonts w:ascii="宋体" w:hAnsi="宋体"/>
          <w:color w:val="000000"/>
          <w:sz w:val="24"/>
          <w:szCs w:val="24"/>
        </w:rPr>
        <w:t>特此公告。</w:t>
      </w:r>
    </w:p>
    <w:p w14:paraId="25216063" w14:textId="77777777" w:rsidR="001220ED" w:rsidRDefault="001220ED">
      <w:pPr>
        <w:adjustRightInd w:val="0"/>
        <w:snapToGrid w:val="0"/>
        <w:spacing w:line="560" w:lineRule="exact"/>
        <w:ind w:firstLineChars="200" w:firstLine="480"/>
        <w:rPr>
          <w:rFonts w:ascii="Times New Roman" w:hAnsi="Times New Roman"/>
          <w:sz w:val="24"/>
        </w:rPr>
      </w:pPr>
      <w:bookmarkStart w:id="0" w:name="_GoBack"/>
      <w:bookmarkEnd w:id="0"/>
    </w:p>
    <w:p w14:paraId="0C7B779B" w14:textId="77777777" w:rsidR="001220ED" w:rsidRPr="00567A16" w:rsidRDefault="007973D1" w:rsidP="00567A16">
      <w:pPr>
        <w:autoSpaceDE w:val="0"/>
        <w:autoSpaceDN w:val="0"/>
        <w:adjustRightInd w:val="0"/>
        <w:snapToGrid w:val="0"/>
        <w:spacing w:line="560" w:lineRule="exact"/>
        <w:ind w:firstLineChars="2200" w:firstLine="5280"/>
        <w:rPr>
          <w:rFonts w:ascii="宋体" w:hAnsi="宋体"/>
          <w:color w:val="000000"/>
          <w:sz w:val="24"/>
          <w:szCs w:val="24"/>
        </w:rPr>
      </w:pPr>
      <w:r w:rsidRPr="00567A16">
        <w:rPr>
          <w:rFonts w:ascii="宋体" w:hAnsi="宋体" w:hint="eastAsia"/>
          <w:color w:val="000000"/>
          <w:sz w:val="24"/>
          <w:szCs w:val="24"/>
        </w:rPr>
        <w:t>倍加洁股份有限公司董事会</w:t>
      </w:r>
    </w:p>
    <w:p w14:paraId="77A82D47" w14:textId="4F97906E" w:rsidR="001220ED" w:rsidRPr="00567A16" w:rsidRDefault="007973D1" w:rsidP="00567A16">
      <w:pPr>
        <w:autoSpaceDE w:val="0"/>
        <w:autoSpaceDN w:val="0"/>
        <w:adjustRightInd w:val="0"/>
        <w:snapToGrid w:val="0"/>
        <w:spacing w:line="560" w:lineRule="exact"/>
        <w:ind w:firstLineChars="200" w:firstLine="480"/>
        <w:rPr>
          <w:rFonts w:ascii="宋体" w:hAnsi="宋体"/>
          <w:color w:val="000000"/>
          <w:sz w:val="24"/>
          <w:szCs w:val="24"/>
        </w:rPr>
      </w:pPr>
      <w:r w:rsidRPr="00567A16">
        <w:rPr>
          <w:rFonts w:ascii="宋体" w:hAnsi="宋体"/>
          <w:color w:val="000000"/>
          <w:sz w:val="24"/>
          <w:szCs w:val="24"/>
        </w:rPr>
        <w:t xml:space="preserve"> </w:t>
      </w:r>
      <w:r w:rsidR="00567A16">
        <w:rPr>
          <w:rFonts w:ascii="宋体" w:hAnsi="宋体"/>
          <w:color w:val="000000"/>
          <w:sz w:val="24"/>
          <w:szCs w:val="24"/>
        </w:rPr>
        <w:t xml:space="preserve">                                              </w:t>
      </w:r>
      <w:r w:rsidR="00E84409">
        <w:rPr>
          <w:rFonts w:ascii="宋体" w:hAnsi="宋体"/>
          <w:color w:val="000000"/>
          <w:sz w:val="24"/>
          <w:szCs w:val="24"/>
        </w:rPr>
        <w:t xml:space="preserve">   </w:t>
      </w:r>
      <w:r w:rsidR="00567A16">
        <w:rPr>
          <w:rFonts w:ascii="宋体" w:hAnsi="宋体"/>
          <w:color w:val="000000"/>
          <w:sz w:val="24"/>
          <w:szCs w:val="24"/>
        </w:rPr>
        <w:t xml:space="preserve"> </w:t>
      </w:r>
      <w:r w:rsidRPr="00567A16">
        <w:rPr>
          <w:rFonts w:ascii="宋体" w:hAnsi="宋体" w:hint="eastAsia"/>
          <w:color w:val="000000"/>
          <w:sz w:val="24"/>
          <w:szCs w:val="24"/>
        </w:rPr>
        <w:t>2025</w:t>
      </w:r>
      <w:r w:rsidRPr="00567A16">
        <w:rPr>
          <w:rFonts w:ascii="宋体" w:hAnsi="宋体"/>
          <w:color w:val="000000"/>
          <w:sz w:val="24"/>
          <w:szCs w:val="24"/>
        </w:rPr>
        <w:t>年</w:t>
      </w:r>
      <w:r w:rsidRPr="00567A16">
        <w:rPr>
          <w:rFonts w:ascii="宋体" w:hAnsi="宋体" w:hint="eastAsia"/>
          <w:color w:val="000000"/>
          <w:sz w:val="24"/>
          <w:szCs w:val="24"/>
        </w:rPr>
        <w:t>8</w:t>
      </w:r>
      <w:r w:rsidRPr="00567A16">
        <w:rPr>
          <w:rFonts w:ascii="宋体" w:hAnsi="宋体"/>
          <w:color w:val="000000"/>
          <w:sz w:val="24"/>
          <w:szCs w:val="24"/>
        </w:rPr>
        <w:t>月</w:t>
      </w:r>
      <w:r w:rsidRPr="00567A16">
        <w:rPr>
          <w:rFonts w:ascii="宋体" w:hAnsi="宋体" w:hint="eastAsia"/>
          <w:color w:val="000000"/>
          <w:sz w:val="24"/>
          <w:szCs w:val="24"/>
        </w:rPr>
        <w:t>2</w:t>
      </w:r>
      <w:r w:rsidR="002249E1" w:rsidRPr="00567A16">
        <w:rPr>
          <w:rFonts w:ascii="宋体" w:hAnsi="宋体"/>
          <w:color w:val="000000"/>
          <w:sz w:val="24"/>
          <w:szCs w:val="24"/>
        </w:rPr>
        <w:t>8</w:t>
      </w:r>
      <w:r w:rsidRPr="00567A16">
        <w:rPr>
          <w:rFonts w:ascii="宋体" w:hAnsi="宋体"/>
          <w:color w:val="000000"/>
          <w:sz w:val="24"/>
          <w:szCs w:val="24"/>
        </w:rPr>
        <w:t>日</w:t>
      </w:r>
    </w:p>
    <w:p w14:paraId="09DDF0EF" w14:textId="77777777" w:rsidR="001220ED" w:rsidRDefault="001220ED">
      <w:pPr>
        <w:autoSpaceDE w:val="0"/>
        <w:autoSpaceDN w:val="0"/>
        <w:adjustRightInd w:val="0"/>
        <w:spacing w:line="560" w:lineRule="exact"/>
        <w:ind w:right="1200"/>
        <w:rPr>
          <w:rFonts w:ascii="Times New Roman" w:eastAsia="仿宋_GB2312" w:hAnsi="Times New Roman"/>
          <w:color w:val="000000"/>
          <w:sz w:val="30"/>
          <w:szCs w:val="30"/>
        </w:rPr>
      </w:pPr>
    </w:p>
    <w:p w14:paraId="42065F03" w14:textId="77777777" w:rsidR="001220ED" w:rsidRDefault="001220ED">
      <w:pPr>
        <w:pStyle w:val="a9"/>
        <w:spacing w:line="560" w:lineRule="exact"/>
        <w:ind w:firstLine="750"/>
        <w:jc w:val="right"/>
        <w:rPr>
          <w:rFonts w:ascii="Times New Roman" w:eastAsia="仿宋_GB2312" w:hAnsi="Times New Roman"/>
          <w:color w:val="000000"/>
          <w:sz w:val="30"/>
          <w:szCs w:val="30"/>
        </w:rPr>
      </w:pPr>
    </w:p>
    <w:sectPr w:rsidR="001220E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6DBCB" w14:textId="77777777" w:rsidR="00950EC9" w:rsidRDefault="00950EC9">
      <w:r>
        <w:separator/>
      </w:r>
    </w:p>
  </w:endnote>
  <w:endnote w:type="continuationSeparator" w:id="0">
    <w:p w14:paraId="67187374" w14:textId="77777777" w:rsidR="00950EC9" w:rsidRDefault="0095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FD13" w14:textId="0C131635" w:rsidR="001220ED" w:rsidRDefault="007973D1">
    <w:pPr>
      <w:pStyle w:val="a9"/>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D506D" w:rsidRPr="00FD506D">
      <w:rPr>
        <w:rFonts w:ascii="Times New Roman" w:hAnsi="Times New Roman"/>
        <w:noProof/>
        <w:lang w:val="zh-CN"/>
      </w:rPr>
      <w:t>3</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D4A0A" w14:textId="77777777" w:rsidR="00950EC9" w:rsidRDefault="00950EC9">
      <w:r>
        <w:separator/>
      </w:r>
    </w:p>
  </w:footnote>
  <w:footnote w:type="continuationSeparator" w:id="0">
    <w:p w14:paraId="1F0DB6BC" w14:textId="77777777" w:rsidR="00950EC9" w:rsidRDefault="00950E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DB296" w14:textId="77777777" w:rsidR="001220ED" w:rsidRDefault="001220ED">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86009"/>
    <w:multiLevelType w:val="multilevel"/>
    <w:tmpl w:val="23286009"/>
    <w:lvl w:ilvl="0">
      <w:numFmt w:val="bullet"/>
      <w:lvlText w:val=""/>
      <w:lvlJc w:val="left"/>
      <w:pPr>
        <w:tabs>
          <w:tab w:val="left" w:pos="1318"/>
        </w:tabs>
        <w:ind w:left="1318" w:hanging="780"/>
      </w:pPr>
      <w:rPr>
        <w:rFonts w:ascii="Wingdings" w:eastAsia="仿宋_GB2312" w:hAnsi="Wingdings" w:cs="Times New Roman" w:hint="default"/>
        <w:b w:val="0"/>
      </w:rPr>
    </w:lvl>
    <w:lvl w:ilvl="1">
      <w:start w:val="1"/>
      <w:numFmt w:val="bullet"/>
      <w:lvlText w:val=""/>
      <w:lvlJc w:val="left"/>
      <w:pPr>
        <w:tabs>
          <w:tab w:val="left" w:pos="1378"/>
        </w:tabs>
        <w:ind w:left="1378" w:hanging="420"/>
      </w:pPr>
      <w:rPr>
        <w:rFonts w:ascii="Wingdings" w:hAnsi="Wingdings" w:hint="default"/>
      </w:rPr>
    </w:lvl>
    <w:lvl w:ilvl="2">
      <w:start w:val="1"/>
      <w:numFmt w:val="bullet"/>
      <w:lvlText w:val=""/>
      <w:lvlJc w:val="left"/>
      <w:pPr>
        <w:tabs>
          <w:tab w:val="left" w:pos="1798"/>
        </w:tabs>
        <w:ind w:left="1798" w:hanging="420"/>
      </w:pPr>
      <w:rPr>
        <w:rFonts w:ascii="Wingdings" w:hAnsi="Wingdings" w:hint="default"/>
      </w:rPr>
    </w:lvl>
    <w:lvl w:ilvl="3">
      <w:start w:val="1"/>
      <w:numFmt w:val="bullet"/>
      <w:lvlText w:val=""/>
      <w:lvlJc w:val="left"/>
      <w:pPr>
        <w:tabs>
          <w:tab w:val="left" w:pos="2218"/>
        </w:tabs>
        <w:ind w:left="2218" w:hanging="420"/>
      </w:pPr>
      <w:rPr>
        <w:rFonts w:ascii="Wingdings" w:hAnsi="Wingdings" w:hint="default"/>
        <w:b w:val="0"/>
      </w:rPr>
    </w:lvl>
    <w:lvl w:ilvl="4">
      <w:start w:val="1"/>
      <w:numFmt w:val="bullet"/>
      <w:lvlText w:val=""/>
      <w:lvlJc w:val="left"/>
      <w:pPr>
        <w:tabs>
          <w:tab w:val="left" w:pos="2638"/>
        </w:tabs>
        <w:ind w:left="2638" w:hanging="420"/>
      </w:pPr>
      <w:rPr>
        <w:rFonts w:ascii="Wingdings" w:hAnsi="Wingdings" w:hint="default"/>
      </w:rPr>
    </w:lvl>
    <w:lvl w:ilvl="5">
      <w:start w:val="1"/>
      <w:numFmt w:val="bullet"/>
      <w:lvlText w:val=""/>
      <w:lvlJc w:val="left"/>
      <w:pPr>
        <w:tabs>
          <w:tab w:val="left" w:pos="3058"/>
        </w:tabs>
        <w:ind w:left="3058" w:hanging="420"/>
      </w:pPr>
      <w:rPr>
        <w:rFonts w:ascii="Wingdings" w:hAnsi="Wingdings" w:hint="default"/>
      </w:rPr>
    </w:lvl>
    <w:lvl w:ilvl="6">
      <w:start w:val="1"/>
      <w:numFmt w:val="bullet"/>
      <w:lvlText w:val=""/>
      <w:lvlJc w:val="left"/>
      <w:pPr>
        <w:tabs>
          <w:tab w:val="left" w:pos="3478"/>
        </w:tabs>
        <w:ind w:left="3478" w:hanging="420"/>
      </w:pPr>
      <w:rPr>
        <w:rFonts w:ascii="Wingdings" w:hAnsi="Wingdings" w:hint="default"/>
      </w:rPr>
    </w:lvl>
    <w:lvl w:ilvl="7">
      <w:start w:val="1"/>
      <w:numFmt w:val="bullet"/>
      <w:lvlText w:val=""/>
      <w:lvlJc w:val="left"/>
      <w:pPr>
        <w:tabs>
          <w:tab w:val="left" w:pos="3898"/>
        </w:tabs>
        <w:ind w:left="3898" w:hanging="420"/>
      </w:pPr>
      <w:rPr>
        <w:rFonts w:ascii="Wingdings" w:hAnsi="Wingdings" w:hint="default"/>
      </w:rPr>
    </w:lvl>
    <w:lvl w:ilvl="8">
      <w:start w:val="1"/>
      <w:numFmt w:val="bullet"/>
      <w:lvlText w:val=""/>
      <w:lvlJc w:val="left"/>
      <w:pPr>
        <w:tabs>
          <w:tab w:val="left" w:pos="4318"/>
        </w:tabs>
        <w:ind w:left="431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NDBmMTJkYzBiMThlMDhhNTE5MDJhNGRjYmJlZjQifQ=="/>
  </w:docVars>
  <w:rsids>
    <w:rsidRoot w:val="00E620FF"/>
    <w:rsid w:val="9FFEAC82"/>
    <w:rsid w:val="A3BF1E3F"/>
    <w:rsid w:val="A7DBC1F8"/>
    <w:rsid w:val="BEFB001E"/>
    <w:rsid w:val="BEFD6D11"/>
    <w:rsid w:val="D66FF995"/>
    <w:rsid w:val="D6D7F535"/>
    <w:rsid w:val="E5FFD6DB"/>
    <w:rsid w:val="EDFF3004"/>
    <w:rsid w:val="EEFF9B04"/>
    <w:rsid w:val="EF1FAB89"/>
    <w:rsid w:val="EF7F6377"/>
    <w:rsid w:val="F71EA477"/>
    <w:rsid w:val="F75FCDCC"/>
    <w:rsid w:val="F7BF5899"/>
    <w:rsid w:val="F7DC752F"/>
    <w:rsid w:val="F8F9CD90"/>
    <w:rsid w:val="FBF7ED5A"/>
    <w:rsid w:val="FDDF7679"/>
    <w:rsid w:val="FF170B52"/>
    <w:rsid w:val="FFF7551D"/>
    <w:rsid w:val="FFFF155E"/>
    <w:rsid w:val="FFFFBF01"/>
    <w:rsid w:val="00000795"/>
    <w:rsid w:val="00001761"/>
    <w:rsid w:val="000121F2"/>
    <w:rsid w:val="00013615"/>
    <w:rsid w:val="00022494"/>
    <w:rsid w:val="00022900"/>
    <w:rsid w:val="00022D1A"/>
    <w:rsid w:val="00024A36"/>
    <w:rsid w:val="000332EC"/>
    <w:rsid w:val="00033C39"/>
    <w:rsid w:val="00034298"/>
    <w:rsid w:val="00035E18"/>
    <w:rsid w:val="000409AB"/>
    <w:rsid w:val="00040FB8"/>
    <w:rsid w:val="00041067"/>
    <w:rsid w:val="00041A82"/>
    <w:rsid w:val="000454E7"/>
    <w:rsid w:val="00046727"/>
    <w:rsid w:val="0004693E"/>
    <w:rsid w:val="00047D69"/>
    <w:rsid w:val="00051754"/>
    <w:rsid w:val="0005507D"/>
    <w:rsid w:val="000558B2"/>
    <w:rsid w:val="000606F2"/>
    <w:rsid w:val="0006196C"/>
    <w:rsid w:val="00061B35"/>
    <w:rsid w:val="00062618"/>
    <w:rsid w:val="00062D4E"/>
    <w:rsid w:val="000721B7"/>
    <w:rsid w:val="00075F8F"/>
    <w:rsid w:val="00085113"/>
    <w:rsid w:val="00085BE2"/>
    <w:rsid w:val="0009061F"/>
    <w:rsid w:val="0009394A"/>
    <w:rsid w:val="000942F3"/>
    <w:rsid w:val="0009560A"/>
    <w:rsid w:val="00095AB1"/>
    <w:rsid w:val="000A27D3"/>
    <w:rsid w:val="000A31AF"/>
    <w:rsid w:val="000A3CBE"/>
    <w:rsid w:val="000A70D4"/>
    <w:rsid w:val="000A7774"/>
    <w:rsid w:val="000B1EC7"/>
    <w:rsid w:val="000B4FF6"/>
    <w:rsid w:val="000B648A"/>
    <w:rsid w:val="000B69C8"/>
    <w:rsid w:val="000B6E58"/>
    <w:rsid w:val="000B6F2B"/>
    <w:rsid w:val="000B6FBA"/>
    <w:rsid w:val="000C3BBD"/>
    <w:rsid w:val="000C498A"/>
    <w:rsid w:val="000C66A4"/>
    <w:rsid w:val="000C7153"/>
    <w:rsid w:val="000C72C2"/>
    <w:rsid w:val="000D0E7E"/>
    <w:rsid w:val="000D54F8"/>
    <w:rsid w:val="000D7048"/>
    <w:rsid w:val="000D7793"/>
    <w:rsid w:val="000E18EC"/>
    <w:rsid w:val="000E459E"/>
    <w:rsid w:val="000E69AA"/>
    <w:rsid w:val="000E69C2"/>
    <w:rsid w:val="000F5DEC"/>
    <w:rsid w:val="00101076"/>
    <w:rsid w:val="001026C4"/>
    <w:rsid w:val="00105CFD"/>
    <w:rsid w:val="0010688F"/>
    <w:rsid w:val="00107D25"/>
    <w:rsid w:val="00110D4B"/>
    <w:rsid w:val="0011125A"/>
    <w:rsid w:val="00117720"/>
    <w:rsid w:val="001220ED"/>
    <w:rsid w:val="001239DD"/>
    <w:rsid w:val="00124129"/>
    <w:rsid w:val="0013279E"/>
    <w:rsid w:val="00132CBC"/>
    <w:rsid w:val="00135102"/>
    <w:rsid w:val="00135155"/>
    <w:rsid w:val="00135D79"/>
    <w:rsid w:val="001429E4"/>
    <w:rsid w:val="0016255E"/>
    <w:rsid w:val="00163A84"/>
    <w:rsid w:val="00166F19"/>
    <w:rsid w:val="00173EE0"/>
    <w:rsid w:val="00175784"/>
    <w:rsid w:val="00176102"/>
    <w:rsid w:val="00176F09"/>
    <w:rsid w:val="001773A8"/>
    <w:rsid w:val="0017765E"/>
    <w:rsid w:val="00181105"/>
    <w:rsid w:val="00182DB1"/>
    <w:rsid w:val="00183EEB"/>
    <w:rsid w:val="00191041"/>
    <w:rsid w:val="00194D89"/>
    <w:rsid w:val="00197274"/>
    <w:rsid w:val="001A0A47"/>
    <w:rsid w:val="001A2686"/>
    <w:rsid w:val="001B304E"/>
    <w:rsid w:val="001B7891"/>
    <w:rsid w:val="001C5EE0"/>
    <w:rsid w:val="001C602C"/>
    <w:rsid w:val="001D4624"/>
    <w:rsid w:val="001D5648"/>
    <w:rsid w:val="001D5B0F"/>
    <w:rsid w:val="001E478D"/>
    <w:rsid w:val="001E669E"/>
    <w:rsid w:val="001E72F9"/>
    <w:rsid w:val="001F120A"/>
    <w:rsid w:val="001F3585"/>
    <w:rsid w:val="001F419F"/>
    <w:rsid w:val="00204C1C"/>
    <w:rsid w:val="002061A1"/>
    <w:rsid w:val="00206C20"/>
    <w:rsid w:val="00216480"/>
    <w:rsid w:val="002175E6"/>
    <w:rsid w:val="002179BA"/>
    <w:rsid w:val="00221061"/>
    <w:rsid w:val="00222FA1"/>
    <w:rsid w:val="00223CA3"/>
    <w:rsid w:val="002249E1"/>
    <w:rsid w:val="002250F0"/>
    <w:rsid w:val="00226478"/>
    <w:rsid w:val="002272A2"/>
    <w:rsid w:val="00233D65"/>
    <w:rsid w:val="00236433"/>
    <w:rsid w:val="00236B36"/>
    <w:rsid w:val="00237D19"/>
    <w:rsid w:val="0024034A"/>
    <w:rsid w:val="00250409"/>
    <w:rsid w:val="00251142"/>
    <w:rsid w:val="00252181"/>
    <w:rsid w:val="00260504"/>
    <w:rsid w:val="00261480"/>
    <w:rsid w:val="00267615"/>
    <w:rsid w:val="002707CD"/>
    <w:rsid w:val="00274313"/>
    <w:rsid w:val="00284F68"/>
    <w:rsid w:val="0028574E"/>
    <w:rsid w:val="0029121A"/>
    <w:rsid w:val="00291E51"/>
    <w:rsid w:val="00293BFC"/>
    <w:rsid w:val="00294628"/>
    <w:rsid w:val="00294BEB"/>
    <w:rsid w:val="00296009"/>
    <w:rsid w:val="002A02DB"/>
    <w:rsid w:val="002A2BC1"/>
    <w:rsid w:val="002A493C"/>
    <w:rsid w:val="002A7765"/>
    <w:rsid w:val="002B3986"/>
    <w:rsid w:val="002B425A"/>
    <w:rsid w:val="002C0BC9"/>
    <w:rsid w:val="002C730B"/>
    <w:rsid w:val="002D6EE0"/>
    <w:rsid w:val="002E2441"/>
    <w:rsid w:val="002E3252"/>
    <w:rsid w:val="002E3695"/>
    <w:rsid w:val="002E4EE5"/>
    <w:rsid w:val="002E51A8"/>
    <w:rsid w:val="002E51BB"/>
    <w:rsid w:val="002E6FEF"/>
    <w:rsid w:val="002F27A6"/>
    <w:rsid w:val="002F27E2"/>
    <w:rsid w:val="002F3362"/>
    <w:rsid w:val="002F3E42"/>
    <w:rsid w:val="00302AD8"/>
    <w:rsid w:val="00304200"/>
    <w:rsid w:val="003140CC"/>
    <w:rsid w:val="00314D3D"/>
    <w:rsid w:val="00320A44"/>
    <w:rsid w:val="00326A87"/>
    <w:rsid w:val="0033055E"/>
    <w:rsid w:val="00331A8B"/>
    <w:rsid w:val="00331ADA"/>
    <w:rsid w:val="00334456"/>
    <w:rsid w:val="00335574"/>
    <w:rsid w:val="00342B35"/>
    <w:rsid w:val="00354468"/>
    <w:rsid w:val="00357D20"/>
    <w:rsid w:val="0036009C"/>
    <w:rsid w:val="00370F56"/>
    <w:rsid w:val="00372375"/>
    <w:rsid w:val="003725DA"/>
    <w:rsid w:val="003738AF"/>
    <w:rsid w:val="00374968"/>
    <w:rsid w:val="00375C97"/>
    <w:rsid w:val="0037614C"/>
    <w:rsid w:val="00380116"/>
    <w:rsid w:val="003848F6"/>
    <w:rsid w:val="00385A72"/>
    <w:rsid w:val="00386819"/>
    <w:rsid w:val="003874A4"/>
    <w:rsid w:val="003907E1"/>
    <w:rsid w:val="00390AD6"/>
    <w:rsid w:val="00391EBC"/>
    <w:rsid w:val="0039455F"/>
    <w:rsid w:val="003968DF"/>
    <w:rsid w:val="003A196F"/>
    <w:rsid w:val="003A1AF9"/>
    <w:rsid w:val="003A2256"/>
    <w:rsid w:val="003A42E9"/>
    <w:rsid w:val="003C3E96"/>
    <w:rsid w:val="003C4413"/>
    <w:rsid w:val="003C475F"/>
    <w:rsid w:val="003C7546"/>
    <w:rsid w:val="003D0785"/>
    <w:rsid w:val="003D3D2B"/>
    <w:rsid w:val="003D49C9"/>
    <w:rsid w:val="003D515C"/>
    <w:rsid w:val="003E4702"/>
    <w:rsid w:val="003F19B6"/>
    <w:rsid w:val="00400B18"/>
    <w:rsid w:val="0040285E"/>
    <w:rsid w:val="00402B13"/>
    <w:rsid w:val="00406C0D"/>
    <w:rsid w:val="00414121"/>
    <w:rsid w:val="00414C2C"/>
    <w:rsid w:val="00414E61"/>
    <w:rsid w:val="00416543"/>
    <w:rsid w:val="00416846"/>
    <w:rsid w:val="0042010B"/>
    <w:rsid w:val="00423F19"/>
    <w:rsid w:val="00424EA1"/>
    <w:rsid w:val="00427CDE"/>
    <w:rsid w:val="00432B0C"/>
    <w:rsid w:val="004332A9"/>
    <w:rsid w:val="004375D2"/>
    <w:rsid w:val="00440A6E"/>
    <w:rsid w:val="00441600"/>
    <w:rsid w:val="00442933"/>
    <w:rsid w:val="00442B5E"/>
    <w:rsid w:val="0044641A"/>
    <w:rsid w:val="00452FC7"/>
    <w:rsid w:val="0045616A"/>
    <w:rsid w:val="00463D11"/>
    <w:rsid w:val="004668ED"/>
    <w:rsid w:val="00467E0F"/>
    <w:rsid w:val="00474394"/>
    <w:rsid w:val="00486D02"/>
    <w:rsid w:val="00487EDB"/>
    <w:rsid w:val="004901D9"/>
    <w:rsid w:val="00490245"/>
    <w:rsid w:val="00491C88"/>
    <w:rsid w:val="00497058"/>
    <w:rsid w:val="004A1E1E"/>
    <w:rsid w:val="004A3A95"/>
    <w:rsid w:val="004A5F21"/>
    <w:rsid w:val="004A63F2"/>
    <w:rsid w:val="004A7BB6"/>
    <w:rsid w:val="004B0AD5"/>
    <w:rsid w:val="004B1AA9"/>
    <w:rsid w:val="004B67A1"/>
    <w:rsid w:val="004C0788"/>
    <w:rsid w:val="004C1943"/>
    <w:rsid w:val="004C2959"/>
    <w:rsid w:val="004C51D3"/>
    <w:rsid w:val="004C612A"/>
    <w:rsid w:val="004C7688"/>
    <w:rsid w:val="004C76EB"/>
    <w:rsid w:val="004D0164"/>
    <w:rsid w:val="004D0D25"/>
    <w:rsid w:val="004D6808"/>
    <w:rsid w:val="004E27DD"/>
    <w:rsid w:val="004E4D45"/>
    <w:rsid w:val="004E5874"/>
    <w:rsid w:val="004F46DA"/>
    <w:rsid w:val="004F4C38"/>
    <w:rsid w:val="00501B8D"/>
    <w:rsid w:val="00501B90"/>
    <w:rsid w:val="00503945"/>
    <w:rsid w:val="00503A46"/>
    <w:rsid w:val="0050540D"/>
    <w:rsid w:val="00506D1B"/>
    <w:rsid w:val="005076EC"/>
    <w:rsid w:val="00511467"/>
    <w:rsid w:val="0051402B"/>
    <w:rsid w:val="00515DA4"/>
    <w:rsid w:val="00520616"/>
    <w:rsid w:val="00520869"/>
    <w:rsid w:val="00523C04"/>
    <w:rsid w:val="00526390"/>
    <w:rsid w:val="005311A0"/>
    <w:rsid w:val="00535684"/>
    <w:rsid w:val="00536E36"/>
    <w:rsid w:val="00542729"/>
    <w:rsid w:val="005437F3"/>
    <w:rsid w:val="00550967"/>
    <w:rsid w:val="00556D87"/>
    <w:rsid w:val="005572E2"/>
    <w:rsid w:val="00564FDE"/>
    <w:rsid w:val="00567A16"/>
    <w:rsid w:val="0057211E"/>
    <w:rsid w:val="00572894"/>
    <w:rsid w:val="00572CD2"/>
    <w:rsid w:val="00573CF6"/>
    <w:rsid w:val="005779F2"/>
    <w:rsid w:val="00584687"/>
    <w:rsid w:val="00585C65"/>
    <w:rsid w:val="0058612E"/>
    <w:rsid w:val="00587437"/>
    <w:rsid w:val="0059051C"/>
    <w:rsid w:val="00595012"/>
    <w:rsid w:val="00596FCA"/>
    <w:rsid w:val="00597D76"/>
    <w:rsid w:val="005A0FB9"/>
    <w:rsid w:val="005A2E60"/>
    <w:rsid w:val="005A3972"/>
    <w:rsid w:val="005A5E3E"/>
    <w:rsid w:val="005A6A9D"/>
    <w:rsid w:val="005A6B70"/>
    <w:rsid w:val="005A6D71"/>
    <w:rsid w:val="005B0AF7"/>
    <w:rsid w:val="005B171A"/>
    <w:rsid w:val="005B1BCD"/>
    <w:rsid w:val="005B2D60"/>
    <w:rsid w:val="005C058C"/>
    <w:rsid w:val="005C3039"/>
    <w:rsid w:val="005C416B"/>
    <w:rsid w:val="005C57AA"/>
    <w:rsid w:val="005C78FA"/>
    <w:rsid w:val="005D0862"/>
    <w:rsid w:val="005E07AB"/>
    <w:rsid w:val="005E0B01"/>
    <w:rsid w:val="005E435E"/>
    <w:rsid w:val="005E5C56"/>
    <w:rsid w:val="005E60C8"/>
    <w:rsid w:val="005E7845"/>
    <w:rsid w:val="005F29C3"/>
    <w:rsid w:val="006041E4"/>
    <w:rsid w:val="00605FAF"/>
    <w:rsid w:val="00607BA2"/>
    <w:rsid w:val="00613A7B"/>
    <w:rsid w:val="0061591D"/>
    <w:rsid w:val="00617849"/>
    <w:rsid w:val="00621B6C"/>
    <w:rsid w:val="0062563A"/>
    <w:rsid w:val="0063183B"/>
    <w:rsid w:val="00632CDA"/>
    <w:rsid w:val="0063552E"/>
    <w:rsid w:val="0064288C"/>
    <w:rsid w:val="00642C9C"/>
    <w:rsid w:val="006526F3"/>
    <w:rsid w:val="00655631"/>
    <w:rsid w:val="00655E57"/>
    <w:rsid w:val="00660471"/>
    <w:rsid w:val="006604D1"/>
    <w:rsid w:val="0066224C"/>
    <w:rsid w:val="006629C0"/>
    <w:rsid w:val="00666361"/>
    <w:rsid w:val="00671391"/>
    <w:rsid w:val="0067198B"/>
    <w:rsid w:val="00675A2D"/>
    <w:rsid w:val="00677431"/>
    <w:rsid w:val="00677F62"/>
    <w:rsid w:val="006834E7"/>
    <w:rsid w:val="00686CEA"/>
    <w:rsid w:val="00687996"/>
    <w:rsid w:val="00691779"/>
    <w:rsid w:val="006963B5"/>
    <w:rsid w:val="006A5840"/>
    <w:rsid w:val="006A59BE"/>
    <w:rsid w:val="006A781B"/>
    <w:rsid w:val="006A7899"/>
    <w:rsid w:val="006B01DC"/>
    <w:rsid w:val="006B3541"/>
    <w:rsid w:val="006B63E8"/>
    <w:rsid w:val="006D21A3"/>
    <w:rsid w:val="006D33A5"/>
    <w:rsid w:val="006D6081"/>
    <w:rsid w:val="006D644E"/>
    <w:rsid w:val="006E1AD5"/>
    <w:rsid w:val="006E1E54"/>
    <w:rsid w:val="006E75B1"/>
    <w:rsid w:val="006F06D8"/>
    <w:rsid w:val="006F2851"/>
    <w:rsid w:val="006F2D96"/>
    <w:rsid w:val="007047A6"/>
    <w:rsid w:val="00707B6D"/>
    <w:rsid w:val="00711905"/>
    <w:rsid w:val="00711A96"/>
    <w:rsid w:val="00712E61"/>
    <w:rsid w:val="00713018"/>
    <w:rsid w:val="00713A54"/>
    <w:rsid w:val="007154DC"/>
    <w:rsid w:val="0071578E"/>
    <w:rsid w:val="00715F10"/>
    <w:rsid w:val="00717211"/>
    <w:rsid w:val="007212E5"/>
    <w:rsid w:val="007225B7"/>
    <w:rsid w:val="00722684"/>
    <w:rsid w:val="00727DDC"/>
    <w:rsid w:val="00733683"/>
    <w:rsid w:val="007342A0"/>
    <w:rsid w:val="007354D2"/>
    <w:rsid w:val="00735546"/>
    <w:rsid w:val="00735B59"/>
    <w:rsid w:val="007366FC"/>
    <w:rsid w:val="00736C29"/>
    <w:rsid w:val="0074385E"/>
    <w:rsid w:val="0074437A"/>
    <w:rsid w:val="007454C8"/>
    <w:rsid w:val="00750AED"/>
    <w:rsid w:val="007518D4"/>
    <w:rsid w:val="007545D2"/>
    <w:rsid w:val="00754901"/>
    <w:rsid w:val="00755F6E"/>
    <w:rsid w:val="0076201E"/>
    <w:rsid w:val="007621AA"/>
    <w:rsid w:val="00771088"/>
    <w:rsid w:val="00772E00"/>
    <w:rsid w:val="00773A20"/>
    <w:rsid w:val="007746BD"/>
    <w:rsid w:val="00774903"/>
    <w:rsid w:val="00780892"/>
    <w:rsid w:val="007846F7"/>
    <w:rsid w:val="00785216"/>
    <w:rsid w:val="00785250"/>
    <w:rsid w:val="0079390A"/>
    <w:rsid w:val="007973D1"/>
    <w:rsid w:val="007A4CEF"/>
    <w:rsid w:val="007A78E0"/>
    <w:rsid w:val="007B26D0"/>
    <w:rsid w:val="007B5758"/>
    <w:rsid w:val="007B5C4F"/>
    <w:rsid w:val="007B6000"/>
    <w:rsid w:val="007C25B4"/>
    <w:rsid w:val="007C62C8"/>
    <w:rsid w:val="007C7FC0"/>
    <w:rsid w:val="007D0F7E"/>
    <w:rsid w:val="007D1E5C"/>
    <w:rsid w:val="007D427A"/>
    <w:rsid w:val="007D51BD"/>
    <w:rsid w:val="007D6643"/>
    <w:rsid w:val="007D7723"/>
    <w:rsid w:val="007E1239"/>
    <w:rsid w:val="007E2244"/>
    <w:rsid w:val="007E5033"/>
    <w:rsid w:val="007E509E"/>
    <w:rsid w:val="007F1A9D"/>
    <w:rsid w:val="007F2FAC"/>
    <w:rsid w:val="007F448F"/>
    <w:rsid w:val="007F6AD5"/>
    <w:rsid w:val="00805047"/>
    <w:rsid w:val="008056C9"/>
    <w:rsid w:val="0080582A"/>
    <w:rsid w:val="008065C4"/>
    <w:rsid w:val="008102DF"/>
    <w:rsid w:val="0081281A"/>
    <w:rsid w:val="00814D65"/>
    <w:rsid w:val="008169E8"/>
    <w:rsid w:val="00817229"/>
    <w:rsid w:val="00817BE8"/>
    <w:rsid w:val="008217CC"/>
    <w:rsid w:val="00821CD9"/>
    <w:rsid w:val="008255B7"/>
    <w:rsid w:val="008264D0"/>
    <w:rsid w:val="00831A68"/>
    <w:rsid w:val="00837DC7"/>
    <w:rsid w:val="00843765"/>
    <w:rsid w:val="0084524A"/>
    <w:rsid w:val="00852F6A"/>
    <w:rsid w:val="00854EEE"/>
    <w:rsid w:val="00855F7B"/>
    <w:rsid w:val="00864B52"/>
    <w:rsid w:val="00864C9F"/>
    <w:rsid w:val="0086541A"/>
    <w:rsid w:val="00867D30"/>
    <w:rsid w:val="008701D3"/>
    <w:rsid w:val="00870E71"/>
    <w:rsid w:val="008713FE"/>
    <w:rsid w:val="00873F01"/>
    <w:rsid w:val="008772D9"/>
    <w:rsid w:val="00884A6B"/>
    <w:rsid w:val="00885455"/>
    <w:rsid w:val="00890415"/>
    <w:rsid w:val="008923ED"/>
    <w:rsid w:val="008959A7"/>
    <w:rsid w:val="00897BB2"/>
    <w:rsid w:val="008A0C06"/>
    <w:rsid w:val="008A4150"/>
    <w:rsid w:val="008B3F98"/>
    <w:rsid w:val="008B509D"/>
    <w:rsid w:val="008B74CE"/>
    <w:rsid w:val="008C0690"/>
    <w:rsid w:val="008C646E"/>
    <w:rsid w:val="008D0D6B"/>
    <w:rsid w:val="008D12FE"/>
    <w:rsid w:val="008D2DE1"/>
    <w:rsid w:val="008D3FC4"/>
    <w:rsid w:val="008D61FF"/>
    <w:rsid w:val="008F273E"/>
    <w:rsid w:val="008F6159"/>
    <w:rsid w:val="00901C98"/>
    <w:rsid w:val="009034FA"/>
    <w:rsid w:val="00914841"/>
    <w:rsid w:val="00915CE4"/>
    <w:rsid w:val="009213AE"/>
    <w:rsid w:val="00922A1A"/>
    <w:rsid w:val="00923F6A"/>
    <w:rsid w:val="009246A4"/>
    <w:rsid w:val="00924B34"/>
    <w:rsid w:val="009302BF"/>
    <w:rsid w:val="00930B19"/>
    <w:rsid w:val="00931FFE"/>
    <w:rsid w:val="00933591"/>
    <w:rsid w:val="00933AB7"/>
    <w:rsid w:val="00936B7D"/>
    <w:rsid w:val="0094404C"/>
    <w:rsid w:val="009440A5"/>
    <w:rsid w:val="0094550F"/>
    <w:rsid w:val="00947DF2"/>
    <w:rsid w:val="00950593"/>
    <w:rsid w:val="0095079F"/>
    <w:rsid w:val="00950EC9"/>
    <w:rsid w:val="00952BBB"/>
    <w:rsid w:val="00954EB1"/>
    <w:rsid w:val="00955AAA"/>
    <w:rsid w:val="009570EE"/>
    <w:rsid w:val="00975156"/>
    <w:rsid w:val="00975387"/>
    <w:rsid w:val="00976314"/>
    <w:rsid w:val="00977AAA"/>
    <w:rsid w:val="00980819"/>
    <w:rsid w:val="00981FA2"/>
    <w:rsid w:val="0098430C"/>
    <w:rsid w:val="00984340"/>
    <w:rsid w:val="009846B7"/>
    <w:rsid w:val="0098556E"/>
    <w:rsid w:val="00985615"/>
    <w:rsid w:val="00987D5D"/>
    <w:rsid w:val="009A1CA0"/>
    <w:rsid w:val="009A6CF1"/>
    <w:rsid w:val="009B0E3B"/>
    <w:rsid w:val="009B1035"/>
    <w:rsid w:val="009B7CBB"/>
    <w:rsid w:val="009C0B8A"/>
    <w:rsid w:val="009C3247"/>
    <w:rsid w:val="009C53DB"/>
    <w:rsid w:val="009D19A4"/>
    <w:rsid w:val="009D304E"/>
    <w:rsid w:val="009D3EDB"/>
    <w:rsid w:val="009D5F36"/>
    <w:rsid w:val="009D661B"/>
    <w:rsid w:val="009D69D5"/>
    <w:rsid w:val="009E3396"/>
    <w:rsid w:val="009E6822"/>
    <w:rsid w:val="009E6F80"/>
    <w:rsid w:val="009F0132"/>
    <w:rsid w:val="009F2D11"/>
    <w:rsid w:val="009F2EF8"/>
    <w:rsid w:val="009F74B6"/>
    <w:rsid w:val="009F78AE"/>
    <w:rsid w:val="009F7977"/>
    <w:rsid w:val="00A00417"/>
    <w:rsid w:val="00A01848"/>
    <w:rsid w:val="00A0446F"/>
    <w:rsid w:val="00A07229"/>
    <w:rsid w:val="00A0781E"/>
    <w:rsid w:val="00A12D49"/>
    <w:rsid w:val="00A136C5"/>
    <w:rsid w:val="00A141C5"/>
    <w:rsid w:val="00A15040"/>
    <w:rsid w:val="00A21CD9"/>
    <w:rsid w:val="00A234E7"/>
    <w:rsid w:val="00A31DAE"/>
    <w:rsid w:val="00A41589"/>
    <w:rsid w:val="00A427D2"/>
    <w:rsid w:val="00A51009"/>
    <w:rsid w:val="00A52A11"/>
    <w:rsid w:val="00A53057"/>
    <w:rsid w:val="00A534D9"/>
    <w:rsid w:val="00A55324"/>
    <w:rsid w:val="00A55619"/>
    <w:rsid w:val="00A61878"/>
    <w:rsid w:val="00A62F5E"/>
    <w:rsid w:val="00A6312A"/>
    <w:rsid w:val="00A668FC"/>
    <w:rsid w:val="00A732BB"/>
    <w:rsid w:val="00A7686C"/>
    <w:rsid w:val="00A76E6E"/>
    <w:rsid w:val="00A80575"/>
    <w:rsid w:val="00A8249B"/>
    <w:rsid w:val="00A82BFE"/>
    <w:rsid w:val="00A84436"/>
    <w:rsid w:val="00A84AF0"/>
    <w:rsid w:val="00A94401"/>
    <w:rsid w:val="00A97240"/>
    <w:rsid w:val="00AA513B"/>
    <w:rsid w:val="00AA5BB3"/>
    <w:rsid w:val="00AA72B4"/>
    <w:rsid w:val="00AB5255"/>
    <w:rsid w:val="00AB5ACE"/>
    <w:rsid w:val="00AB75D4"/>
    <w:rsid w:val="00AC08AD"/>
    <w:rsid w:val="00AC4327"/>
    <w:rsid w:val="00AC48BC"/>
    <w:rsid w:val="00AC6633"/>
    <w:rsid w:val="00AD2C51"/>
    <w:rsid w:val="00AD4D5B"/>
    <w:rsid w:val="00AD5E33"/>
    <w:rsid w:val="00AE0EF7"/>
    <w:rsid w:val="00AF4255"/>
    <w:rsid w:val="00AF4412"/>
    <w:rsid w:val="00AF49B9"/>
    <w:rsid w:val="00AF4D6B"/>
    <w:rsid w:val="00AF5A1A"/>
    <w:rsid w:val="00AF6F95"/>
    <w:rsid w:val="00B0489D"/>
    <w:rsid w:val="00B054AF"/>
    <w:rsid w:val="00B060D7"/>
    <w:rsid w:val="00B10489"/>
    <w:rsid w:val="00B10BF8"/>
    <w:rsid w:val="00B11286"/>
    <w:rsid w:val="00B11EFF"/>
    <w:rsid w:val="00B1272A"/>
    <w:rsid w:val="00B13529"/>
    <w:rsid w:val="00B23376"/>
    <w:rsid w:val="00B233CA"/>
    <w:rsid w:val="00B23509"/>
    <w:rsid w:val="00B241C9"/>
    <w:rsid w:val="00B27C69"/>
    <w:rsid w:val="00B317B4"/>
    <w:rsid w:val="00B33085"/>
    <w:rsid w:val="00B356CD"/>
    <w:rsid w:val="00B412A1"/>
    <w:rsid w:val="00B41857"/>
    <w:rsid w:val="00B44790"/>
    <w:rsid w:val="00B4487F"/>
    <w:rsid w:val="00B51583"/>
    <w:rsid w:val="00B51D2D"/>
    <w:rsid w:val="00B52D80"/>
    <w:rsid w:val="00B57D51"/>
    <w:rsid w:val="00B617F5"/>
    <w:rsid w:val="00B62042"/>
    <w:rsid w:val="00B6211C"/>
    <w:rsid w:val="00B63CB1"/>
    <w:rsid w:val="00B64EEE"/>
    <w:rsid w:val="00B65FD4"/>
    <w:rsid w:val="00B7027B"/>
    <w:rsid w:val="00B706A2"/>
    <w:rsid w:val="00B712DF"/>
    <w:rsid w:val="00B72913"/>
    <w:rsid w:val="00B738CE"/>
    <w:rsid w:val="00B73CD6"/>
    <w:rsid w:val="00B81E0C"/>
    <w:rsid w:val="00B83146"/>
    <w:rsid w:val="00B841E6"/>
    <w:rsid w:val="00B8623F"/>
    <w:rsid w:val="00B8766E"/>
    <w:rsid w:val="00B87D9F"/>
    <w:rsid w:val="00B87E5C"/>
    <w:rsid w:val="00B96E08"/>
    <w:rsid w:val="00B97150"/>
    <w:rsid w:val="00BA2608"/>
    <w:rsid w:val="00BA32BF"/>
    <w:rsid w:val="00BA58DB"/>
    <w:rsid w:val="00BA7CA0"/>
    <w:rsid w:val="00BB1DCB"/>
    <w:rsid w:val="00BB26A5"/>
    <w:rsid w:val="00BB29AB"/>
    <w:rsid w:val="00BB3628"/>
    <w:rsid w:val="00BB37F1"/>
    <w:rsid w:val="00BB4D55"/>
    <w:rsid w:val="00BB74BB"/>
    <w:rsid w:val="00BC474A"/>
    <w:rsid w:val="00BD0527"/>
    <w:rsid w:val="00BD33CB"/>
    <w:rsid w:val="00BD3D80"/>
    <w:rsid w:val="00BD6AD1"/>
    <w:rsid w:val="00BD7291"/>
    <w:rsid w:val="00BE0174"/>
    <w:rsid w:val="00BE04F4"/>
    <w:rsid w:val="00BE087A"/>
    <w:rsid w:val="00BF05FC"/>
    <w:rsid w:val="00BF170B"/>
    <w:rsid w:val="00BF5C2A"/>
    <w:rsid w:val="00BF652D"/>
    <w:rsid w:val="00BF6913"/>
    <w:rsid w:val="00BF6A3D"/>
    <w:rsid w:val="00C056F3"/>
    <w:rsid w:val="00C059F4"/>
    <w:rsid w:val="00C05EA3"/>
    <w:rsid w:val="00C06714"/>
    <w:rsid w:val="00C1125D"/>
    <w:rsid w:val="00C15389"/>
    <w:rsid w:val="00C15DB6"/>
    <w:rsid w:val="00C16F9F"/>
    <w:rsid w:val="00C25890"/>
    <w:rsid w:val="00C26AFC"/>
    <w:rsid w:val="00C316B0"/>
    <w:rsid w:val="00C31848"/>
    <w:rsid w:val="00C32BE8"/>
    <w:rsid w:val="00C32D58"/>
    <w:rsid w:val="00C33CFD"/>
    <w:rsid w:val="00C34CA7"/>
    <w:rsid w:val="00C36DD5"/>
    <w:rsid w:val="00C377D8"/>
    <w:rsid w:val="00C37E69"/>
    <w:rsid w:val="00C4633C"/>
    <w:rsid w:val="00C50B6A"/>
    <w:rsid w:val="00C51048"/>
    <w:rsid w:val="00C51123"/>
    <w:rsid w:val="00C5422D"/>
    <w:rsid w:val="00C544FF"/>
    <w:rsid w:val="00C55505"/>
    <w:rsid w:val="00C55625"/>
    <w:rsid w:val="00C57261"/>
    <w:rsid w:val="00C60DAF"/>
    <w:rsid w:val="00C6138B"/>
    <w:rsid w:val="00C617D1"/>
    <w:rsid w:val="00C61EAC"/>
    <w:rsid w:val="00C62907"/>
    <w:rsid w:val="00C635E3"/>
    <w:rsid w:val="00C66007"/>
    <w:rsid w:val="00C71E2D"/>
    <w:rsid w:val="00C747BF"/>
    <w:rsid w:val="00C76B9D"/>
    <w:rsid w:val="00C76C61"/>
    <w:rsid w:val="00C81DB0"/>
    <w:rsid w:val="00C82E02"/>
    <w:rsid w:val="00C83B69"/>
    <w:rsid w:val="00C86581"/>
    <w:rsid w:val="00C91D73"/>
    <w:rsid w:val="00C9343E"/>
    <w:rsid w:val="00C94DC8"/>
    <w:rsid w:val="00CA228F"/>
    <w:rsid w:val="00CA34BD"/>
    <w:rsid w:val="00CB3B8D"/>
    <w:rsid w:val="00CB41E0"/>
    <w:rsid w:val="00CC3990"/>
    <w:rsid w:val="00CC5FD6"/>
    <w:rsid w:val="00CC784F"/>
    <w:rsid w:val="00CD067B"/>
    <w:rsid w:val="00CD55C8"/>
    <w:rsid w:val="00CD6524"/>
    <w:rsid w:val="00CD6C9E"/>
    <w:rsid w:val="00CE013B"/>
    <w:rsid w:val="00CE0371"/>
    <w:rsid w:val="00CE0FF9"/>
    <w:rsid w:val="00CE2571"/>
    <w:rsid w:val="00CE35F5"/>
    <w:rsid w:val="00CE54BD"/>
    <w:rsid w:val="00CF1916"/>
    <w:rsid w:val="00CF302D"/>
    <w:rsid w:val="00CF3837"/>
    <w:rsid w:val="00CF7762"/>
    <w:rsid w:val="00D0207B"/>
    <w:rsid w:val="00D063C1"/>
    <w:rsid w:val="00D06D4C"/>
    <w:rsid w:val="00D11A6C"/>
    <w:rsid w:val="00D151CB"/>
    <w:rsid w:val="00D16582"/>
    <w:rsid w:val="00D16820"/>
    <w:rsid w:val="00D16B69"/>
    <w:rsid w:val="00D178D8"/>
    <w:rsid w:val="00D20513"/>
    <w:rsid w:val="00D2125C"/>
    <w:rsid w:val="00D219DE"/>
    <w:rsid w:val="00D22DF7"/>
    <w:rsid w:val="00D23076"/>
    <w:rsid w:val="00D2536E"/>
    <w:rsid w:val="00D2543C"/>
    <w:rsid w:val="00D25D84"/>
    <w:rsid w:val="00D260F5"/>
    <w:rsid w:val="00D2695C"/>
    <w:rsid w:val="00D31113"/>
    <w:rsid w:val="00D31EBE"/>
    <w:rsid w:val="00D37BEF"/>
    <w:rsid w:val="00D40998"/>
    <w:rsid w:val="00D4238A"/>
    <w:rsid w:val="00D455B4"/>
    <w:rsid w:val="00D45BDE"/>
    <w:rsid w:val="00D47F09"/>
    <w:rsid w:val="00D51C9C"/>
    <w:rsid w:val="00D60679"/>
    <w:rsid w:val="00D60D44"/>
    <w:rsid w:val="00D61728"/>
    <w:rsid w:val="00D67277"/>
    <w:rsid w:val="00D74790"/>
    <w:rsid w:val="00D76C00"/>
    <w:rsid w:val="00D84D76"/>
    <w:rsid w:val="00D8500A"/>
    <w:rsid w:val="00D87A6F"/>
    <w:rsid w:val="00D9397D"/>
    <w:rsid w:val="00D96C80"/>
    <w:rsid w:val="00D97687"/>
    <w:rsid w:val="00DA3E4D"/>
    <w:rsid w:val="00DA4429"/>
    <w:rsid w:val="00DB1C03"/>
    <w:rsid w:val="00DC1A1C"/>
    <w:rsid w:val="00DC50D0"/>
    <w:rsid w:val="00DC5323"/>
    <w:rsid w:val="00DD14A8"/>
    <w:rsid w:val="00DD1AC0"/>
    <w:rsid w:val="00DD2BA8"/>
    <w:rsid w:val="00DD42EA"/>
    <w:rsid w:val="00DE1A18"/>
    <w:rsid w:val="00DE1B00"/>
    <w:rsid w:val="00DF07EA"/>
    <w:rsid w:val="00DF17B2"/>
    <w:rsid w:val="00DF1A7A"/>
    <w:rsid w:val="00DF3BE4"/>
    <w:rsid w:val="00DF573A"/>
    <w:rsid w:val="00DF69AA"/>
    <w:rsid w:val="00DF7FE9"/>
    <w:rsid w:val="00E0193F"/>
    <w:rsid w:val="00E046D0"/>
    <w:rsid w:val="00E064A3"/>
    <w:rsid w:val="00E0676A"/>
    <w:rsid w:val="00E0720C"/>
    <w:rsid w:val="00E11ABE"/>
    <w:rsid w:val="00E11DFA"/>
    <w:rsid w:val="00E1345A"/>
    <w:rsid w:val="00E13A58"/>
    <w:rsid w:val="00E1654C"/>
    <w:rsid w:val="00E16C84"/>
    <w:rsid w:val="00E21E0B"/>
    <w:rsid w:val="00E2390D"/>
    <w:rsid w:val="00E307AC"/>
    <w:rsid w:val="00E315DC"/>
    <w:rsid w:val="00E34AA3"/>
    <w:rsid w:val="00E3760B"/>
    <w:rsid w:val="00E43630"/>
    <w:rsid w:val="00E46026"/>
    <w:rsid w:val="00E50801"/>
    <w:rsid w:val="00E620FF"/>
    <w:rsid w:val="00E67C49"/>
    <w:rsid w:val="00E718FF"/>
    <w:rsid w:val="00E74312"/>
    <w:rsid w:val="00E77335"/>
    <w:rsid w:val="00E84409"/>
    <w:rsid w:val="00E90617"/>
    <w:rsid w:val="00E95CCD"/>
    <w:rsid w:val="00E96FF0"/>
    <w:rsid w:val="00EA11FB"/>
    <w:rsid w:val="00EA15BC"/>
    <w:rsid w:val="00EA2932"/>
    <w:rsid w:val="00EA5A16"/>
    <w:rsid w:val="00EA5BA2"/>
    <w:rsid w:val="00EB2C0B"/>
    <w:rsid w:val="00EB3F96"/>
    <w:rsid w:val="00EB537C"/>
    <w:rsid w:val="00EC273C"/>
    <w:rsid w:val="00EC3002"/>
    <w:rsid w:val="00EC3354"/>
    <w:rsid w:val="00ED0FC9"/>
    <w:rsid w:val="00EE38A4"/>
    <w:rsid w:val="00EE70BC"/>
    <w:rsid w:val="00EE793C"/>
    <w:rsid w:val="00EF1CBE"/>
    <w:rsid w:val="00EF793E"/>
    <w:rsid w:val="00F02AD3"/>
    <w:rsid w:val="00F057E1"/>
    <w:rsid w:val="00F07A3F"/>
    <w:rsid w:val="00F1098A"/>
    <w:rsid w:val="00F124D9"/>
    <w:rsid w:val="00F14447"/>
    <w:rsid w:val="00F14A7A"/>
    <w:rsid w:val="00F17CFA"/>
    <w:rsid w:val="00F21B96"/>
    <w:rsid w:val="00F24DE4"/>
    <w:rsid w:val="00F26C31"/>
    <w:rsid w:val="00F31F74"/>
    <w:rsid w:val="00F333D9"/>
    <w:rsid w:val="00F45D9F"/>
    <w:rsid w:val="00F53F8D"/>
    <w:rsid w:val="00F54196"/>
    <w:rsid w:val="00F544A0"/>
    <w:rsid w:val="00F55096"/>
    <w:rsid w:val="00F61089"/>
    <w:rsid w:val="00F61624"/>
    <w:rsid w:val="00F61950"/>
    <w:rsid w:val="00F61C3C"/>
    <w:rsid w:val="00F638B5"/>
    <w:rsid w:val="00F663EB"/>
    <w:rsid w:val="00F676D7"/>
    <w:rsid w:val="00F70C0C"/>
    <w:rsid w:val="00F73CC7"/>
    <w:rsid w:val="00F74BBD"/>
    <w:rsid w:val="00F7694B"/>
    <w:rsid w:val="00F7726D"/>
    <w:rsid w:val="00F7758B"/>
    <w:rsid w:val="00F81363"/>
    <w:rsid w:val="00F85B57"/>
    <w:rsid w:val="00F8710C"/>
    <w:rsid w:val="00F87946"/>
    <w:rsid w:val="00F94276"/>
    <w:rsid w:val="00F948A9"/>
    <w:rsid w:val="00F95593"/>
    <w:rsid w:val="00F96CC7"/>
    <w:rsid w:val="00FA0311"/>
    <w:rsid w:val="00FA045B"/>
    <w:rsid w:val="00FA3B68"/>
    <w:rsid w:val="00FA4309"/>
    <w:rsid w:val="00FA5BC8"/>
    <w:rsid w:val="00FB186F"/>
    <w:rsid w:val="00FB49F0"/>
    <w:rsid w:val="00FC2476"/>
    <w:rsid w:val="00FC3B83"/>
    <w:rsid w:val="00FC643C"/>
    <w:rsid w:val="00FC6F8B"/>
    <w:rsid w:val="00FD0667"/>
    <w:rsid w:val="00FD0CC4"/>
    <w:rsid w:val="00FD0F89"/>
    <w:rsid w:val="00FD506D"/>
    <w:rsid w:val="00FD746D"/>
    <w:rsid w:val="00FE1940"/>
    <w:rsid w:val="00FE478F"/>
    <w:rsid w:val="00FE4CD4"/>
    <w:rsid w:val="00FF0A41"/>
    <w:rsid w:val="00FF0D08"/>
    <w:rsid w:val="00FF225C"/>
    <w:rsid w:val="00FF3AB1"/>
    <w:rsid w:val="00FF4266"/>
    <w:rsid w:val="00FF5B87"/>
    <w:rsid w:val="00FF7C17"/>
    <w:rsid w:val="0CDE0108"/>
    <w:rsid w:val="0CF87D0F"/>
    <w:rsid w:val="14AA2CAA"/>
    <w:rsid w:val="1E684849"/>
    <w:rsid w:val="368A2987"/>
    <w:rsid w:val="36FE087F"/>
    <w:rsid w:val="44517333"/>
    <w:rsid w:val="475E3C0E"/>
    <w:rsid w:val="4BFE48C0"/>
    <w:rsid w:val="50EB0D2F"/>
    <w:rsid w:val="5ABD4207"/>
    <w:rsid w:val="5E57A45F"/>
    <w:rsid w:val="5FFD2C50"/>
    <w:rsid w:val="609E412F"/>
    <w:rsid w:val="7E3BF3E0"/>
    <w:rsid w:val="7F5DB016"/>
    <w:rsid w:val="7F7FFF7B"/>
    <w:rsid w:val="7FB92915"/>
    <w:rsid w:val="7FDF5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049478"/>
  <w15:docId w15:val="{E4C50ECC-8C7F-444D-A6B2-D2A015AA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11"/>
    <w:uiPriority w:val="99"/>
    <w:unhideWhenUsed/>
    <w:qFormat/>
    <w:pPr>
      <w:tabs>
        <w:tab w:val="center" w:pos="4153"/>
        <w:tab w:val="right" w:pos="8306"/>
      </w:tabs>
      <w:snapToGrid w:val="0"/>
      <w:jc w:val="left"/>
    </w:pPr>
    <w:rPr>
      <w:kern w:val="0"/>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c">
    <w:name w:val="annotation subject"/>
    <w:basedOn w:val="a5"/>
    <w:next w:val="a5"/>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annotation reference"/>
    <w:uiPriority w:val="99"/>
    <w:semiHidden/>
    <w:unhideWhenUsed/>
    <w:qFormat/>
    <w:rPr>
      <w:sz w:val="21"/>
      <w:szCs w:val="21"/>
    </w:rPr>
  </w:style>
  <w:style w:type="character" w:customStyle="1" w:styleId="ab">
    <w:name w:val="页眉 字符"/>
    <w:link w:val="aa"/>
    <w:uiPriority w:val="99"/>
    <w:qFormat/>
    <w:rPr>
      <w:sz w:val="18"/>
      <w:szCs w:val="18"/>
    </w:rPr>
  </w:style>
  <w:style w:type="character" w:customStyle="1" w:styleId="11">
    <w:name w:val="页脚 字符1"/>
    <w:link w:val="a9"/>
    <w:uiPriority w:val="99"/>
    <w:qFormat/>
    <w:rPr>
      <w:sz w:val="18"/>
      <w:szCs w:val="18"/>
    </w:rPr>
  </w:style>
  <w:style w:type="character" w:customStyle="1" w:styleId="10">
    <w:name w:val="标题 1 字符"/>
    <w:link w:val="1"/>
    <w:qFormat/>
    <w:rPr>
      <w:rFonts w:ascii="Times New Roman" w:eastAsia="宋体" w:hAnsi="Times New Roman" w:cs="Times New Roman"/>
      <w:b/>
      <w:bCs/>
      <w:kern w:val="44"/>
      <w:sz w:val="44"/>
      <w:szCs w:val="44"/>
    </w:rPr>
  </w:style>
  <w:style w:type="paragraph" w:styleId="af1">
    <w:name w:val="List Paragraph"/>
    <w:basedOn w:val="a"/>
    <w:link w:val="af2"/>
    <w:qFormat/>
    <w:pPr>
      <w:ind w:firstLineChars="200" w:firstLine="420"/>
    </w:pPr>
  </w:style>
  <w:style w:type="character" w:customStyle="1" w:styleId="a8">
    <w:name w:val="批注框文本 字符"/>
    <w:link w:val="a7"/>
    <w:uiPriority w:val="99"/>
    <w:semiHidden/>
    <w:qFormat/>
    <w:rPr>
      <w:kern w:val="2"/>
      <w:sz w:val="18"/>
      <w:szCs w:val="18"/>
    </w:rPr>
  </w:style>
  <w:style w:type="character" w:customStyle="1" w:styleId="af2">
    <w:name w:val="列出段落 字符"/>
    <w:link w:val="af1"/>
    <w:qFormat/>
    <w:locked/>
    <w:rPr>
      <w:kern w:val="2"/>
      <w:sz w:val="21"/>
      <w:szCs w:val="22"/>
    </w:rPr>
  </w:style>
  <w:style w:type="character" w:customStyle="1" w:styleId="af3">
    <w:name w:val="页脚 字符"/>
    <w:uiPriority w:val="99"/>
    <w:qFormat/>
  </w:style>
  <w:style w:type="character" w:customStyle="1" w:styleId="a4">
    <w:name w:val="文档结构图 字符"/>
    <w:link w:val="a3"/>
    <w:uiPriority w:val="99"/>
    <w:semiHidden/>
    <w:qFormat/>
    <w:rPr>
      <w:rFonts w:ascii="宋体"/>
      <w:kern w:val="2"/>
      <w:sz w:val="18"/>
      <w:szCs w:val="18"/>
    </w:rPr>
  </w:style>
  <w:style w:type="character" w:customStyle="1" w:styleId="a6">
    <w:name w:val="批注文字 字符"/>
    <w:link w:val="a5"/>
    <w:uiPriority w:val="99"/>
    <w:qFormat/>
    <w:rPr>
      <w:kern w:val="2"/>
      <w:sz w:val="21"/>
      <w:szCs w:val="22"/>
    </w:rPr>
  </w:style>
  <w:style w:type="character" w:customStyle="1" w:styleId="ad">
    <w:name w:val="批注主题 字符"/>
    <w:link w:val="ac"/>
    <w:uiPriority w:val="99"/>
    <w:semiHidden/>
    <w:qFormat/>
    <w:rPr>
      <w:b/>
      <w:bCs/>
      <w:kern w:val="2"/>
      <w:sz w:val="21"/>
      <w:szCs w:val="22"/>
    </w:rPr>
  </w:style>
  <w:style w:type="paragraph" w:customStyle="1" w:styleId="12">
    <w:name w:val="修订1"/>
    <w:hidden/>
    <w:uiPriority w:val="99"/>
    <w:semiHidden/>
    <w:qFormat/>
    <w:rPr>
      <w:kern w:val="2"/>
      <w:sz w:val="21"/>
      <w:szCs w:val="22"/>
    </w:rPr>
  </w:style>
  <w:style w:type="paragraph" w:customStyle="1" w:styleId="2">
    <w:name w:val="修订2"/>
    <w:hidden/>
    <w:uiPriority w:val="99"/>
    <w:unhideWhenUsed/>
    <w:qFormat/>
    <w:rPr>
      <w:kern w:val="2"/>
      <w:sz w:val="21"/>
      <w:szCs w:val="22"/>
    </w:rPr>
  </w:style>
  <w:style w:type="paragraph" w:customStyle="1" w:styleId="3">
    <w:name w:val="修订3"/>
    <w:hidden/>
    <w:uiPriority w:val="99"/>
    <w:unhideWhenUsed/>
    <w:qFormat/>
    <w:rPr>
      <w:kern w:val="2"/>
      <w:sz w:val="21"/>
      <w:szCs w:val="22"/>
    </w:rPr>
  </w:style>
  <w:style w:type="paragraph" w:styleId="af4">
    <w:name w:val="Revision"/>
    <w:hidden/>
    <w:uiPriority w:val="99"/>
    <w:unhideWhenUsed/>
    <w:rsid w:val="002A02D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whzhou</dc:creator>
  <cp:lastModifiedBy>孙彬</cp:lastModifiedBy>
  <cp:revision>18</cp:revision>
  <cp:lastPrinted>2024-12-03T00:20:00Z</cp:lastPrinted>
  <dcterms:created xsi:type="dcterms:W3CDTF">2024-12-01T22:36:00Z</dcterms:created>
  <dcterms:modified xsi:type="dcterms:W3CDTF">2025-08-27T06:59:00Z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B2126B15E1294F43873B3A04B6B0BBBB_13</vt:lpwstr>
  </property>
  <property fmtid="{D5CDD505-2E9C-101B-9397-08002B2CF9AE}" pid="4" name="KSOTemplateDocerSaveRecord">
    <vt:lpwstr>eyJoZGlkIjoiZTRlMWJlMjc0NDQ1MTFiMzExZDkyNmE0ZDYwMzFlNDIiLCJ1c2VySWQiOiI0MzMwMTkwODUifQ==</vt:lpwstr>
  </property>
</Properties>
</file>