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A7627" w14:textId="1ADE2395" w:rsidR="00C162D5" w:rsidRDefault="00C162D5">
      <w:pPr>
        <w:spacing w:beforeLines="50" w:before="156" w:afterLines="50" w:after="156"/>
        <w:jc w:val="center"/>
        <w:rPr>
          <w:rFonts w:ascii="黑体" w:eastAsia="黑体" w:hAnsi="黑体" w:cs="Arial"/>
          <w:b/>
          <w:sz w:val="44"/>
          <w:szCs w:val="44"/>
          <w:shd w:val="clear" w:color="auto" w:fill="FFFFFF"/>
        </w:rPr>
      </w:pPr>
    </w:p>
    <w:p w14:paraId="5707DA7A" w14:textId="635561DF" w:rsidR="00C162D5" w:rsidRDefault="00C162D5">
      <w:pPr>
        <w:spacing w:beforeLines="50" w:before="156" w:afterLines="50" w:after="156"/>
        <w:jc w:val="center"/>
        <w:rPr>
          <w:rFonts w:ascii="黑体" w:eastAsia="黑体" w:hAnsi="黑体" w:cs="Arial"/>
          <w:b/>
          <w:sz w:val="44"/>
          <w:szCs w:val="44"/>
          <w:shd w:val="clear" w:color="auto" w:fill="FFFFFF"/>
        </w:rPr>
      </w:pPr>
    </w:p>
    <w:p w14:paraId="5D9882E6" w14:textId="3EE2980F" w:rsidR="00C162D5" w:rsidRDefault="00C162D5">
      <w:pPr>
        <w:spacing w:beforeLines="50" w:before="156" w:afterLines="50" w:after="156"/>
        <w:jc w:val="center"/>
        <w:rPr>
          <w:rFonts w:ascii="黑体" w:eastAsia="黑体" w:hAnsi="黑体" w:cs="Arial"/>
          <w:b/>
          <w:sz w:val="44"/>
          <w:szCs w:val="44"/>
          <w:shd w:val="clear" w:color="auto" w:fill="FFFFFF"/>
        </w:rPr>
      </w:pPr>
    </w:p>
    <w:p w14:paraId="15F03D83" w14:textId="3C7477B2" w:rsidR="00C162D5" w:rsidRDefault="00C162D5">
      <w:pPr>
        <w:spacing w:beforeLines="50" w:before="156" w:afterLines="50" w:after="156"/>
        <w:jc w:val="center"/>
        <w:rPr>
          <w:rFonts w:ascii="黑体" w:eastAsia="黑体" w:hAnsi="黑体" w:cs="Arial"/>
          <w:b/>
          <w:sz w:val="44"/>
          <w:szCs w:val="44"/>
          <w:shd w:val="clear" w:color="auto" w:fill="FFFFFF"/>
        </w:rPr>
      </w:pPr>
    </w:p>
    <w:p w14:paraId="5B20CED7" w14:textId="17B15957" w:rsidR="00C162D5" w:rsidRDefault="00C162D5">
      <w:pPr>
        <w:spacing w:beforeLines="50" w:before="156" w:afterLines="50" w:after="156"/>
        <w:jc w:val="center"/>
        <w:rPr>
          <w:rFonts w:ascii="黑体" w:eastAsia="黑体" w:hAnsi="黑体" w:cs="Arial"/>
          <w:b/>
          <w:sz w:val="44"/>
          <w:szCs w:val="44"/>
          <w:shd w:val="clear" w:color="auto" w:fill="FFFFFF"/>
        </w:rPr>
      </w:pPr>
      <w:r>
        <w:rPr>
          <w:rFonts w:ascii="黑体" w:eastAsia="黑体" w:hAnsi="黑体" w:cs="Arial" w:hint="eastAsia"/>
          <w:b/>
          <w:sz w:val="44"/>
          <w:szCs w:val="44"/>
          <w:shd w:val="clear" w:color="auto" w:fill="FFFFFF"/>
        </w:rPr>
        <w:t>倍加洁集团股份有限公司</w:t>
      </w:r>
    </w:p>
    <w:p w14:paraId="09BD184E" w14:textId="365A1691" w:rsidR="00C162D5" w:rsidRDefault="00C162D5">
      <w:pPr>
        <w:spacing w:beforeLines="50" w:before="156" w:afterLines="50" w:after="156"/>
        <w:jc w:val="center"/>
        <w:rPr>
          <w:rFonts w:ascii="黑体" w:eastAsia="黑体" w:hAnsi="黑体" w:cs="Arial"/>
          <w:b/>
          <w:sz w:val="44"/>
          <w:szCs w:val="44"/>
          <w:shd w:val="clear" w:color="auto" w:fill="FFFFFF"/>
        </w:rPr>
      </w:pPr>
    </w:p>
    <w:p w14:paraId="3920954A" w14:textId="320BFED7" w:rsidR="00C162D5" w:rsidRDefault="00C162D5">
      <w:pPr>
        <w:spacing w:beforeLines="50" w:before="156" w:afterLines="50" w:after="156"/>
        <w:jc w:val="center"/>
        <w:rPr>
          <w:rFonts w:ascii="黑体" w:eastAsia="黑体" w:hAnsi="黑体" w:cs="Arial"/>
          <w:b/>
          <w:sz w:val="44"/>
          <w:szCs w:val="44"/>
          <w:shd w:val="clear" w:color="auto" w:fill="FFFFFF"/>
        </w:rPr>
      </w:pPr>
    </w:p>
    <w:p w14:paraId="113C5879" w14:textId="531ACFAE" w:rsidR="00C162D5" w:rsidRDefault="00C162D5">
      <w:pPr>
        <w:spacing w:beforeLines="50" w:before="156" w:afterLines="50" w:after="156"/>
        <w:jc w:val="center"/>
        <w:rPr>
          <w:rFonts w:ascii="黑体" w:eastAsia="黑体" w:hAnsi="黑体" w:cs="Arial"/>
          <w:b/>
          <w:sz w:val="44"/>
          <w:szCs w:val="44"/>
          <w:shd w:val="clear" w:color="auto" w:fill="FFFFFF"/>
        </w:rPr>
      </w:pPr>
    </w:p>
    <w:p w14:paraId="469E291E" w14:textId="3C9C34BF" w:rsidR="00C162D5" w:rsidRDefault="00C162D5">
      <w:pPr>
        <w:spacing w:beforeLines="50" w:before="156" w:afterLines="50" w:after="156"/>
        <w:jc w:val="center"/>
        <w:rPr>
          <w:rFonts w:ascii="黑体" w:eastAsia="黑体" w:hAnsi="黑体" w:cs="Arial"/>
          <w:b/>
          <w:sz w:val="44"/>
          <w:szCs w:val="44"/>
          <w:shd w:val="clear" w:color="auto" w:fill="FFFFFF"/>
        </w:rPr>
      </w:pPr>
    </w:p>
    <w:p w14:paraId="4FA05CDA" w14:textId="6A7C2B7D" w:rsidR="00C162D5" w:rsidRDefault="00C162D5">
      <w:pPr>
        <w:spacing w:beforeLines="50" w:before="156" w:afterLines="50" w:after="156"/>
        <w:jc w:val="center"/>
        <w:rPr>
          <w:rFonts w:ascii="黑体" w:eastAsia="黑体" w:hAnsi="黑体" w:cs="Arial"/>
          <w:b/>
          <w:sz w:val="44"/>
          <w:szCs w:val="44"/>
          <w:shd w:val="clear" w:color="auto" w:fill="FFFFFF"/>
        </w:rPr>
      </w:pPr>
      <w:r>
        <w:rPr>
          <w:rFonts w:ascii="黑体" w:eastAsia="黑体" w:hAnsi="黑体" w:cs="Arial" w:hint="eastAsia"/>
          <w:b/>
          <w:sz w:val="44"/>
          <w:szCs w:val="44"/>
          <w:shd w:val="clear" w:color="auto" w:fill="FFFFFF"/>
        </w:rPr>
        <w:t>董事、高级管理人员薪酬管理制度</w:t>
      </w:r>
    </w:p>
    <w:p w14:paraId="389D427D" w14:textId="040C745B" w:rsidR="00C162D5" w:rsidRDefault="00C162D5">
      <w:pPr>
        <w:spacing w:beforeLines="50" w:before="156" w:afterLines="50" w:after="156"/>
        <w:jc w:val="center"/>
        <w:rPr>
          <w:rFonts w:ascii="黑体" w:eastAsia="黑体" w:hAnsi="黑体" w:cs="Arial"/>
          <w:b/>
          <w:sz w:val="44"/>
          <w:szCs w:val="44"/>
          <w:shd w:val="clear" w:color="auto" w:fill="FFFFFF"/>
        </w:rPr>
      </w:pPr>
    </w:p>
    <w:p w14:paraId="6CD86A59" w14:textId="4574C760" w:rsidR="00C162D5" w:rsidRDefault="00C162D5">
      <w:pPr>
        <w:spacing w:beforeLines="50" w:before="156" w:afterLines="50" w:after="156"/>
        <w:jc w:val="center"/>
        <w:rPr>
          <w:rFonts w:ascii="黑体" w:eastAsia="黑体" w:hAnsi="黑体" w:cs="Arial"/>
          <w:b/>
          <w:sz w:val="44"/>
          <w:szCs w:val="44"/>
          <w:shd w:val="clear" w:color="auto" w:fill="FFFFFF"/>
        </w:rPr>
      </w:pPr>
    </w:p>
    <w:p w14:paraId="2C118F35" w14:textId="38AFBC38" w:rsidR="00C162D5" w:rsidRDefault="00C162D5">
      <w:pPr>
        <w:spacing w:beforeLines="50" w:before="156" w:afterLines="50" w:after="156"/>
        <w:jc w:val="center"/>
        <w:rPr>
          <w:rFonts w:ascii="黑体" w:eastAsia="黑体" w:hAnsi="黑体" w:cs="Arial"/>
          <w:b/>
          <w:sz w:val="44"/>
          <w:szCs w:val="44"/>
          <w:shd w:val="clear" w:color="auto" w:fill="FFFFFF"/>
        </w:rPr>
      </w:pPr>
    </w:p>
    <w:p w14:paraId="48D493A0" w14:textId="1E302E74" w:rsidR="00C162D5" w:rsidRDefault="00C162D5">
      <w:pPr>
        <w:spacing w:beforeLines="50" w:before="156" w:afterLines="50" w:after="156"/>
        <w:jc w:val="center"/>
        <w:rPr>
          <w:rFonts w:ascii="黑体" w:eastAsia="黑体" w:hAnsi="黑体" w:cs="Arial"/>
          <w:b/>
          <w:sz w:val="44"/>
          <w:szCs w:val="44"/>
          <w:shd w:val="clear" w:color="auto" w:fill="FFFFFF"/>
        </w:rPr>
      </w:pPr>
    </w:p>
    <w:p w14:paraId="3972DD00" w14:textId="06952012" w:rsidR="00C162D5" w:rsidRDefault="00C162D5">
      <w:pPr>
        <w:spacing w:beforeLines="50" w:before="156" w:afterLines="50" w:after="156"/>
        <w:jc w:val="center"/>
        <w:rPr>
          <w:rFonts w:ascii="黑体" w:eastAsia="黑体" w:hAnsi="黑体" w:cs="Arial"/>
          <w:b/>
          <w:sz w:val="44"/>
          <w:szCs w:val="44"/>
          <w:shd w:val="clear" w:color="auto" w:fill="FFFFFF"/>
        </w:rPr>
      </w:pPr>
    </w:p>
    <w:p w14:paraId="21FC0891" w14:textId="6ED864FE" w:rsidR="00C162D5" w:rsidRDefault="00C162D5">
      <w:pPr>
        <w:spacing w:beforeLines="50" w:before="156" w:afterLines="50" w:after="156"/>
        <w:jc w:val="center"/>
        <w:rPr>
          <w:rFonts w:ascii="黑体" w:eastAsia="黑体" w:hAnsi="黑体" w:cs="Arial"/>
          <w:b/>
          <w:sz w:val="44"/>
          <w:szCs w:val="44"/>
          <w:shd w:val="clear" w:color="auto" w:fill="FFFFFF"/>
        </w:rPr>
      </w:pPr>
    </w:p>
    <w:p w14:paraId="7EA75DF4" w14:textId="27DB8F56" w:rsidR="00C162D5" w:rsidRPr="00C162D5" w:rsidRDefault="00C162D5">
      <w:pPr>
        <w:spacing w:beforeLines="50" w:before="156" w:afterLines="50" w:after="156"/>
        <w:jc w:val="center"/>
        <w:rPr>
          <w:rFonts w:ascii="黑体" w:eastAsia="黑体" w:hAnsi="黑体" w:cs="Arial"/>
          <w:b/>
          <w:sz w:val="28"/>
          <w:szCs w:val="44"/>
          <w:shd w:val="clear" w:color="auto" w:fill="FFFFFF"/>
        </w:rPr>
      </w:pPr>
      <w:r w:rsidRPr="00C162D5">
        <w:rPr>
          <w:rFonts w:ascii="黑体" w:eastAsia="黑体" w:hAnsi="黑体" w:cs="Arial" w:hint="eastAsia"/>
          <w:b/>
          <w:sz w:val="28"/>
          <w:szCs w:val="44"/>
          <w:shd w:val="clear" w:color="auto" w:fill="FFFFFF"/>
        </w:rPr>
        <w:t>二零二五年八月</w:t>
      </w:r>
    </w:p>
    <w:p w14:paraId="7D451ADF" w14:textId="77777777" w:rsidR="0077071A" w:rsidRDefault="00C162D5">
      <w:pPr>
        <w:widowControl/>
        <w:jc w:val="left"/>
        <w:rPr>
          <w:rFonts w:asciiTheme="majorEastAsia" w:eastAsiaTheme="majorEastAsia" w:hAnsiTheme="majorEastAsia" w:cs="Arial"/>
          <w:b/>
          <w:sz w:val="32"/>
          <w:szCs w:val="32"/>
          <w:shd w:val="clear" w:color="auto" w:fill="FFFFFF"/>
        </w:rPr>
        <w:sectPr w:rsidR="0077071A">
          <w:headerReference w:type="default" r:id="rId7"/>
          <w:footerReference w:type="default" r:id="rId8"/>
          <w:pgSz w:w="11906" w:h="16838"/>
          <w:pgMar w:top="1440" w:right="1800" w:bottom="1440" w:left="1800" w:header="851" w:footer="992" w:gutter="0"/>
          <w:cols w:space="425"/>
          <w:docGrid w:type="lines" w:linePitch="312"/>
        </w:sectPr>
      </w:pPr>
      <w:r>
        <w:rPr>
          <w:rFonts w:asciiTheme="majorEastAsia" w:eastAsiaTheme="majorEastAsia" w:hAnsiTheme="majorEastAsia" w:cs="Arial"/>
          <w:b/>
          <w:sz w:val="32"/>
          <w:szCs w:val="32"/>
          <w:shd w:val="clear" w:color="auto" w:fill="FFFFFF"/>
        </w:rPr>
        <w:br w:type="page"/>
      </w:r>
    </w:p>
    <w:p w14:paraId="2F86A5C6" w14:textId="41C4A871" w:rsidR="00A032B7" w:rsidRPr="00A032B7" w:rsidRDefault="00A032B7" w:rsidP="00A032B7">
      <w:pPr>
        <w:spacing w:beforeLines="50" w:before="156" w:afterLines="50" w:after="156"/>
        <w:jc w:val="center"/>
        <w:rPr>
          <w:rFonts w:asciiTheme="majorEastAsia" w:eastAsiaTheme="majorEastAsia" w:hAnsiTheme="majorEastAsia" w:cs="Arial"/>
          <w:b/>
          <w:sz w:val="28"/>
          <w:szCs w:val="28"/>
          <w:shd w:val="clear" w:color="auto" w:fill="FFFFFF"/>
        </w:rPr>
      </w:pPr>
      <w:bookmarkStart w:id="0" w:name="_GoBack"/>
      <w:bookmarkEnd w:id="0"/>
      <w:r w:rsidRPr="00A032B7">
        <w:rPr>
          <w:rFonts w:asciiTheme="majorEastAsia" w:eastAsiaTheme="majorEastAsia" w:hAnsiTheme="majorEastAsia" w:cs="Arial" w:hint="eastAsia"/>
          <w:b/>
          <w:sz w:val="28"/>
          <w:szCs w:val="28"/>
          <w:shd w:val="clear" w:color="auto" w:fill="FFFFFF"/>
        </w:rPr>
        <w:lastRenderedPageBreak/>
        <w:t>第一章 总则</w:t>
      </w:r>
    </w:p>
    <w:p w14:paraId="3E32E0A9" w14:textId="5095D166" w:rsidR="00181DD9" w:rsidRDefault="00A032B7" w:rsidP="00EC295D">
      <w:pPr>
        <w:pStyle w:val="a3"/>
        <w:widowControl/>
        <w:numPr>
          <w:ilvl w:val="0"/>
          <w:numId w:val="1"/>
        </w:numPr>
        <w:spacing w:beforeLines="50" w:before="156" w:beforeAutospacing="0" w:afterLines="50" w:after="156" w:afterAutospacing="0" w:line="360" w:lineRule="auto"/>
        <w:jc w:val="both"/>
        <w:rPr>
          <w:rFonts w:ascii="宋体" w:eastAsia="宋体" w:hAnsi="宋体" w:cs="宋体"/>
          <w:color w:val="000000" w:themeColor="text1"/>
        </w:rPr>
      </w:pPr>
      <w:r>
        <w:rPr>
          <w:rFonts w:ascii="宋体" w:eastAsia="宋体" w:hAnsi="宋体" w:cs="宋体" w:hint="eastAsia"/>
          <w:color w:val="000000" w:themeColor="text1"/>
        </w:rPr>
        <w:t>为进一步完善倍加洁集团</w:t>
      </w:r>
      <w:r w:rsidRPr="00A032B7">
        <w:rPr>
          <w:rFonts w:ascii="宋体" w:eastAsia="宋体" w:hAnsi="宋体" w:cs="宋体" w:hint="eastAsia"/>
          <w:color w:val="000000" w:themeColor="text1"/>
        </w:rPr>
        <w:t>股份有限公司（</w:t>
      </w:r>
      <w:r>
        <w:rPr>
          <w:rFonts w:ascii="宋体" w:eastAsia="宋体" w:hAnsi="宋体" w:cs="宋体" w:hint="eastAsia"/>
          <w:color w:val="000000" w:themeColor="text1"/>
        </w:rPr>
        <w:t>以</w:t>
      </w:r>
      <w:r w:rsidRPr="00A032B7">
        <w:rPr>
          <w:rFonts w:ascii="宋体" w:eastAsia="宋体" w:hAnsi="宋体" w:cs="宋体" w:hint="eastAsia"/>
          <w:color w:val="000000" w:themeColor="text1"/>
        </w:rPr>
        <w:t>下</w:t>
      </w:r>
      <w:r>
        <w:rPr>
          <w:rFonts w:ascii="宋体" w:eastAsia="宋体" w:hAnsi="宋体" w:cs="宋体" w:hint="eastAsia"/>
          <w:color w:val="000000" w:themeColor="text1"/>
        </w:rPr>
        <w:t>简</w:t>
      </w:r>
      <w:r w:rsidRPr="00A032B7">
        <w:rPr>
          <w:rFonts w:ascii="宋体" w:eastAsia="宋体" w:hAnsi="宋体" w:cs="宋体" w:hint="eastAsia"/>
          <w:color w:val="000000" w:themeColor="text1"/>
        </w:rPr>
        <w:t>称“公司”）董事、高级管理人员的薪酬管理，建立科学有效的激励约束机制，提高公司经营管理水平。根据《中华人民共和国公司法》</w:t>
      </w:r>
      <w:r>
        <w:rPr>
          <w:rFonts w:ascii="宋体" w:eastAsia="宋体" w:hAnsi="宋体" w:cs="宋体" w:hint="eastAsia"/>
          <w:color w:val="000000" w:themeColor="text1"/>
        </w:rPr>
        <w:t>、《倍加洁集团</w:t>
      </w:r>
      <w:r w:rsidRPr="00A032B7">
        <w:rPr>
          <w:rFonts w:ascii="宋体" w:eastAsia="宋体" w:hAnsi="宋体" w:cs="宋体" w:hint="eastAsia"/>
          <w:color w:val="000000" w:themeColor="text1"/>
        </w:rPr>
        <w:t>股份有限公司章程》（以下简称“</w:t>
      </w:r>
      <w:r>
        <w:rPr>
          <w:rFonts w:ascii="宋体" w:eastAsia="宋体" w:hAnsi="宋体" w:cs="宋体" w:hint="eastAsia"/>
          <w:color w:val="000000" w:themeColor="text1"/>
        </w:rPr>
        <w:t>《</w:t>
      </w:r>
      <w:r w:rsidRPr="00A032B7">
        <w:rPr>
          <w:rFonts w:ascii="宋体" w:eastAsia="宋体" w:hAnsi="宋体" w:cs="宋体" w:hint="eastAsia"/>
          <w:color w:val="000000" w:themeColor="text1"/>
        </w:rPr>
        <w:t>公司章程</w:t>
      </w:r>
      <w:r>
        <w:rPr>
          <w:rFonts w:ascii="宋体" w:eastAsia="宋体" w:hAnsi="宋体" w:cs="宋体" w:hint="eastAsia"/>
          <w:color w:val="000000" w:themeColor="text1"/>
        </w:rPr>
        <w:t>》”）及其他有关规定，结合公司实际情况，制定</w:t>
      </w:r>
      <w:r w:rsidRPr="00A032B7">
        <w:rPr>
          <w:rFonts w:ascii="宋体" w:eastAsia="宋体" w:hAnsi="宋体" w:cs="宋体" w:hint="eastAsia"/>
          <w:color w:val="000000" w:themeColor="text1"/>
        </w:rPr>
        <w:t>本制度。</w:t>
      </w:r>
    </w:p>
    <w:p w14:paraId="1461DE70" w14:textId="02C55BF9" w:rsidR="00181DD9" w:rsidRDefault="00A032B7" w:rsidP="00EC295D">
      <w:pPr>
        <w:pStyle w:val="a3"/>
        <w:widowControl/>
        <w:numPr>
          <w:ilvl w:val="0"/>
          <w:numId w:val="1"/>
        </w:numPr>
        <w:spacing w:beforeLines="50" w:before="156" w:beforeAutospacing="0" w:afterLines="50" w:after="156" w:afterAutospacing="0" w:line="360" w:lineRule="auto"/>
        <w:jc w:val="both"/>
        <w:rPr>
          <w:rFonts w:ascii="宋体" w:eastAsia="宋体" w:hAnsi="宋体" w:cs="宋体"/>
          <w:color w:val="000000" w:themeColor="text1"/>
        </w:rPr>
      </w:pPr>
      <w:r w:rsidRPr="00A032B7">
        <w:rPr>
          <w:rFonts w:ascii="宋体" w:eastAsia="宋体" w:hAnsi="宋体" w:cs="宋体" w:hint="eastAsia"/>
          <w:color w:val="000000" w:themeColor="text1"/>
        </w:rPr>
        <w:t>公司薪酬管理制度遵循合法性、公平性、外部竞争性、激励性和经济性原则。</w:t>
      </w:r>
    </w:p>
    <w:p w14:paraId="0660ACD4" w14:textId="7BC56224" w:rsidR="00181DD9" w:rsidRDefault="00A032B7" w:rsidP="00EC295D">
      <w:pPr>
        <w:pStyle w:val="a3"/>
        <w:widowControl/>
        <w:numPr>
          <w:ilvl w:val="0"/>
          <w:numId w:val="1"/>
        </w:numPr>
        <w:spacing w:beforeLines="50" w:before="156" w:beforeAutospacing="0" w:afterLines="50" w:after="156" w:afterAutospacing="0" w:line="360" w:lineRule="auto"/>
        <w:jc w:val="both"/>
        <w:rPr>
          <w:rFonts w:ascii="宋体" w:eastAsia="宋体" w:hAnsi="宋体" w:cs="宋体"/>
          <w:color w:val="000000" w:themeColor="text1"/>
        </w:rPr>
      </w:pPr>
      <w:r w:rsidRPr="00A032B7">
        <w:rPr>
          <w:rFonts w:ascii="宋体" w:eastAsia="宋体" w:hAnsi="宋体" w:cs="宋体" w:hint="eastAsia"/>
          <w:color w:val="000000" w:themeColor="text1"/>
        </w:rPr>
        <w:t>本制度适用于</w:t>
      </w:r>
      <w:r>
        <w:rPr>
          <w:rFonts w:ascii="宋体" w:eastAsia="宋体" w:hAnsi="宋体" w:cs="宋体" w:hint="eastAsia"/>
          <w:color w:val="000000" w:themeColor="text1"/>
        </w:rPr>
        <w:t>《</w:t>
      </w:r>
      <w:r w:rsidRPr="00A032B7">
        <w:rPr>
          <w:rFonts w:ascii="宋体" w:eastAsia="宋体" w:hAnsi="宋体" w:cs="宋体" w:hint="eastAsia"/>
          <w:color w:val="000000" w:themeColor="text1"/>
        </w:rPr>
        <w:t>公司章程</w:t>
      </w:r>
      <w:r>
        <w:rPr>
          <w:rFonts w:ascii="宋体" w:eastAsia="宋体" w:hAnsi="宋体" w:cs="宋体" w:hint="eastAsia"/>
          <w:color w:val="000000" w:themeColor="text1"/>
        </w:rPr>
        <w:t>》</w:t>
      </w:r>
      <w:r w:rsidRPr="00A032B7">
        <w:rPr>
          <w:rFonts w:ascii="宋体" w:eastAsia="宋体" w:hAnsi="宋体" w:cs="宋体" w:hint="eastAsia"/>
          <w:color w:val="000000" w:themeColor="text1"/>
        </w:rPr>
        <w:t>规定的董事、高级管理人员。</w:t>
      </w:r>
    </w:p>
    <w:p w14:paraId="5E52E7E7" w14:textId="0AADFE4A" w:rsidR="00A032B7" w:rsidRPr="00A032B7" w:rsidRDefault="00A032B7" w:rsidP="00A032B7">
      <w:pPr>
        <w:pStyle w:val="a3"/>
        <w:widowControl/>
        <w:spacing w:beforeLines="50" w:before="156" w:beforeAutospacing="0" w:afterLines="50" w:after="156" w:afterAutospacing="0" w:line="360" w:lineRule="auto"/>
        <w:jc w:val="center"/>
        <w:rPr>
          <w:rFonts w:ascii="宋体" w:eastAsia="宋体" w:hAnsi="宋体" w:cs="宋体"/>
          <w:b/>
          <w:color w:val="000000" w:themeColor="text1"/>
          <w:sz w:val="28"/>
          <w:szCs w:val="28"/>
        </w:rPr>
      </w:pPr>
      <w:r w:rsidRPr="00A032B7">
        <w:rPr>
          <w:rFonts w:ascii="宋体" w:eastAsia="宋体" w:hAnsi="宋体" w:cs="宋体" w:hint="eastAsia"/>
          <w:b/>
          <w:color w:val="000000" w:themeColor="text1"/>
          <w:sz w:val="28"/>
          <w:szCs w:val="28"/>
        </w:rPr>
        <w:t xml:space="preserve">第二章 </w:t>
      </w:r>
      <w:r>
        <w:rPr>
          <w:rFonts w:ascii="宋体" w:eastAsia="宋体" w:hAnsi="宋体" w:cs="宋体" w:hint="eastAsia"/>
          <w:b/>
          <w:color w:val="000000" w:themeColor="text1"/>
          <w:sz w:val="28"/>
          <w:szCs w:val="28"/>
        </w:rPr>
        <w:t>管理机构</w:t>
      </w:r>
    </w:p>
    <w:p w14:paraId="65450405" w14:textId="45DAC55F" w:rsidR="00181DD9" w:rsidRDefault="00A032B7" w:rsidP="00EC295D">
      <w:pPr>
        <w:pStyle w:val="a3"/>
        <w:widowControl/>
        <w:numPr>
          <w:ilvl w:val="0"/>
          <w:numId w:val="1"/>
        </w:numPr>
        <w:spacing w:beforeLines="50" w:before="156" w:beforeAutospacing="0" w:afterLines="50" w:after="156" w:afterAutospacing="0" w:line="360" w:lineRule="auto"/>
        <w:jc w:val="both"/>
        <w:rPr>
          <w:rFonts w:ascii="宋体" w:eastAsia="宋体" w:hAnsi="宋体" w:cs="宋体"/>
          <w:color w:val="000000" w:themeColor="text1"/>
        </w:rPr>
      </w:pPr>
      <w:r w:rsidRPr="00A032B7">
        <w:rPr>
          <w:rFonts w:ascii="宋体" w:eastAsia="宋体" w:hAnsi="宋体" w:cs="宋体" w:hint="eastAsia"/>
          <w:color w:val="000000" w:themeColor="text1"/>
        </w:rPr>
        <w:t>公司董事会下设薪酬与考核委员会，负责制定公司董事、高级管理人员的考核标准并进行考核；负责制定、审查公司董事、高级管理人员的薪酬方案。</w:t>
      </w:r>
    </w:p>
    <w:p w14:paraId="1983EF96" w14:textId="77804342" w:rsidR="00181DD9" w:rsidRDefault="00EC295D" w:rsidP="00EC295D">
      <w:pPr>
        <w:pStyle w:val="a3"/>
        <w:widowControl/>
        <w:numPr>
          <w:ilvl w:val="0"/>
          <w:numId w:val="1"/>
        </w:numPr>
        <w:spacing w:beforeLines="50" w:before="156" w:beforeAutospacing="0" w:afterLines="50" w:after="156" w:afterAutospacing="0" w:line="360" w:lineRule="auto"/>
        <w:jc w:val="both"/>
        <w:rPr>
          <w:rFonts w:ascii="宋体" w:eastAsia="宋体" w:hAnsi="宋体" w:cs="宋体"/>
          <w:color w:val="000000" w:themeColor="text1"/>
        </w:rPr>
      </w:pPr>
      <w:r>
        <w:rPr>
          <w:rFonts w:ascii="宋体" w:eastAsia="宋体" w:hAnsi="宋体" w:cs="宋体" w:hint="eastAsia"/>
          <w:color w:val="000000" w:themeColor="text1"/>
        </w:rPr>
        <w:t>公司财经中心</w:t>
      </w:r>
      <w:r w:rsidRPr="00EC295D">
        <w:rPr>
          <w:rFonts w:ascii="宋体" w:eastAsia="宋体" w:hAnsi="宋体" w:cs="宋体" w:hint="eastAsia"/>
          <w:color w:val="000000" w:themeColor="text1"/>
        </w:rPr>
        <w:t>等相关部门配合董事会薪酬与考核委员会进行公司董事、高级管理人员薪酬方案的具体实施。</w:t>
      </w:r>
    </w:p>
    <w:p w14:paraId="0EA12E5F" w14:textId="382457BB" w:rsidR="00EC295D" w:rsidRPr="00EC295D" w:rsidRDefault="00EC295D" w:rsidP="00EC295D">
      <w:pPr>
        <w:pStyle w:val="a3"/>
        <w:widowControl/>
        <w:spacing w:beforeLines="50" w:before="156" w:beforeAutospacing="0" w:afterLines="50" w:after="156" w:afterAutospacing="0" w:line="360" w:lineRule="auto"/>
        <w:jc w:val="center"/>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第三</w:t>
      </w:r>
      <w:r w:rsidRPr="00EC295D">
        <w:rPr>
          <w:rFonts w:ascii="宋体" w:eastAsia="宋体" w:hAnsi="宋体" w:cs="宋体" w:hint="eastAsia"/>
          <w:b/>
          <w:color w:val="000000" w:themeColor="text1"/>
          <w:sz w:val="28"/>
          <w:szCs w:val="28"/>
        </w:rPr>
        <w:t xml:space="preserve">章 </w:t>
      </w:r>
      <w:r>
        <w:rPr>
          <w:rFonts w:ascii="宋体" w:eastAsia="宋体" w:hAnsi="宋体" w:cs="宋体" w:hint="eastAsia"/>
          <w:b/>
          <w:color w:val="000000" w:themeColor="text1"/>
          <w:sz w:val="28"/>
          <w:szCs w:val="28"/>
        </w:rPr>
        <w:t>薪酬标准</w:t>
      </w:r>
    </w:p>
    <w:p w14:paraId="6C7003FB" w14:textId="69CA4A86" w:rsidR="00181DD9" w:rsidRPr="00EC295D" w:rsidRDefault="005853B7" w:rsidP="005853B7">
      <w:pPr>
        <w:pStyle w:val="a3"/>
        <w:widowControl/>
        <w:numPr>
          <w:ilvl w:val="0"/>
          <w:numId w:val="1"/>
        </w:numPr>
        <w:spacing w:beforeLines="50" w:before="156" w:beforeAutospacing="0" w:afterLines="50" w:after="156" w:afterAutospacing="0" w:line="360" w:lineRule="auto"/>
        <w:jc w:val="both"/>
        <w:rPr>
          <w:rFonts w:ascii="宋体" w:eastAsia="宋体" w:hAnsi="宋体" w:cs="宋体"/>
          <w:color w:val="000000" w:themeColor="text1"/>
        </w:rPr>
      </w:pPr>
      <w:r>
        <w:rPr>
          <w:rFonts w:ascii="宋体" w:eastAsia="宋体" w:hAnsi="宋体" w:cs="宋体" w:hint="eastAsia"/>
          <w:color w:val="000000" w:themeColor="text1"/>
        </w:rPr>
        <w:t>公司内部董事薪酬标准为：</w:t>
      </w:r>
      <w:r w:rsidRPr="005853B7">
        <w:rPr>
          <w:rFonts w:ascii="宋体" w:eastAsia="宋体" w:hAnsi="宋体" w:cs="宋体" w:hint="eastAsia"/>
          <w:color w:val="000000" w:themeColor="text1"/>
        </w:rPr>
        <w:t>在公司担任管理职务者，按照其在公司任职的职务与岗位领取薪酬，其薪酬由基本薪酬和绩效薪酬两部分构成。绩效薪酬部分根据公司内部与薪酬挂钩的绩效考核标准，采取年度考评方式，围绕工作业绩、职责履行等方面进行考核后发放。</w:t>
      </w:r>
    </w:p>
    <w:p w14:paraId="65645817" w14:textId="1099F2EA" w:rsidR="00181DD9" w:rsidRPr="00EC295D" w:rsidRDefault="005853B7" w:rsidP="00EC295D">
      <w:pPr>
        <w:pStyle w:val="a3"/>
        <w:widowControl/>
        <w:numPr>
          <w:ilvl w:val="0"/>
          <w:numId w:val="1"/>
        </w:numPr>
        <w:spacing w:beforeLines="50" w:before="156" w:beforeAutospacing="0" w:afterLines="50" w:after="156" w:afterAutospacing="0" w:line="360" w:lineRule="auto"/>
        <w:jc w:val="both"/>
        <w:rPr>
          <w:rFonts w:ascii="宋体" w:eastAsia="宋体" w:hAnsi="宋体" w:cs="宋体"/>
          <w:color w:val="000000" w:themeColor="text1"/>
        </w:rPr>
      </w:pPr>
      <w:r>
        <w:rPr>
          <w:rFonts w:ascii="宋体" w:eastAsia="宋体" w:hAnsi="宋体" w:cs="宋体" w:hint="eastAsia"/>
          <w:color w:val="000000" w:themeColor="text1"/>
        </w:rPr>
        <w:t>公司</w:t>
      </w:r>
      <w:r w:rsidR="00EC295D" w:rsidRPr="00EC295D">
        <w:rPr>
          <w:rFonts w:ascii="宋体" w:eastAsia="宋体" w:hAnsi="宋体" w:cs="宋体" w:hint="eastAsia"/>
          <w:color w:val="000000" w:themeColor="text1"/>
        </w:rPr>
        <w:t>独立董事</w:t>
      </w:r>
      <w:r>
        <w:rPr>
          <w:rFonts w:ascii="宋体" w:eastAsia="宋体" w:hAnsi="宋体" w:cs="宋体" w:hint="eastAsia"/>
          <w:color w:val="000000" w:themeColor="text1"/>
        </w:rPr>
        <w:t>、外部董事</w:t>
      </w:r>
      <w:r w:rsidR="00EC295D" w:rsidRPr="00EC295D">
        <w:rPr>
          <w:rFonts w:ascii="宋体" w:eastAsia="宋体" w:hAnsi="宋体" w:cs="宋体" w:hint="eastAsia"/>
          <w:color w:val="000000" w:themeColor="text1"/>
        </w:rPr>
        <w:t>实行固定津贴制度，津贴标准由股东会审议。独立董事</w:t>
      </w:r>
      <w:r>
        <w:rPr>
          <w:rFonts w:ascii="宋体" w:eastAsia="宋体" w:hAnsi="宋体" w:cs="宋体" w:hint="eastAsia"/>
          <w:color w:val="000000" w:themeColor="text1"/>
        </w:rPr>
        <w:t>、外部董事</w:t>
      </w:r>
      <w:r w:rsidR="00EC295D" w:rsidRPr="00EC295D">
        <w:rPr>
          <w:rFonts w:ascii="宋体" w:eastAsia="宋体" w:hAnsi="宋体" w:cs="宋体" w:hint="eastAsia"/>
          <w:color w:val="000000" w:themeColor="text1"/>
        </w:rPr>
        <w:t>因出席公司董事会、专门委员会、股东会的差旅费及依照</w:t>
      </w:r>
      <w:r w:rsidR="00EC295D">
        <w:rPr>
          <w:rFonts w:ascii="宋体" w:eastAsia="宋体" w:hAnsi="宋体" w:cs="宋体" w:hint="eastAsia"/>
          <w:color w:val="000000" w:themeColor="text1"/>
        </w:rPr>
        <w:t>《</w:t>
      </w:r>
      <w:r w:rsidR="00EC295D" w:rsidRPr="00EC295D">
        <w:rPr>
          <w:rFonts w:ascii="宋体" w:eastAsia="宋体" w:hAnsi="宋体" w:cs="宋体" w:hint="eastAsia"/>
          <w:color w:val="000000" w:themeColor="text1"/>
        </w:rPr>
        <w:t>公司章程</w:t>
      </w:r>
      <w:r w:rsidR="00EC295D">
        <w:rPr>
          <w:rFonts w:ascii="宋体" w:eastAsia="宋体" w:hAnsi="宋体" w:cs="宋体" w:hint="eastAsia"/>
          <w:color w:val="000000" w:themeColor="text1"/>
        </w:rPr>
        <w:t>》</w:t>
      </w:r>
      <w:r w:rsidR="00EC295D" w:rsidRPr="00EC295D">
        <w:rPr>
          <w:rFonts w:ascii="宋体" w:eastAsia="宋体" w:hAnsi="宋体" w:cs="宋体" w:hint="eastAsia"/>
          <w:color w:val="000000" w:themeColor="text1"/>
        </w:rPr>
        <w:t>行使职权时所需的其他费用，由公司承担。</w:t>
      </w:r>
    </w:p>
    <w:p w14:paraId="4B02925D" w14:textId="3D1DE2A0" w:rsidR="00181DD9" w:rsidRDefault="00DE74C9" w:rsidP="005853B7">
      <w:pPr>
        <w:pStyle w:val="a3"/>
        <w:widowControl/>
        <w:numPr>
          <w:ilvl w:val="0"/>
          <w:numId w:val="1"/>
        </w:numPr>
        <w:spacing w:beforeLines="50" w:before="156" w:beforeAutospacing="0" w:afterLines="50" w:after="156" w:afterAutospacing="0" w:line="360" w:lineRule="auto"/>
        <w:jc w:val="both"/>
        <w:rPr>
          <w:rFonts w:ascii="宋体" w:eastAsia="宋体" w:hAnsi="宋体" w:cs="宋体"/>
          <w:color w:val="000000" w:themeColor="text1"/>
        </w:rPr>
      </w:pPr>
      <w:r>
        <w:rPr>
          <w:rFonts w:ascii="宋体" w:eastAsia="宋体" w:hAnsi="宋体" w:cs="宋体" w:hint="eastAsia"/>
          <w:color w:val="000000" w:themeColor="text1"/>
        </w:rPr>
        <w:t>公司</w:t>
      </w:r>
      <w:r w:rsidR="005853B7" w:rsidRPr="005853B7">
        <w:rPr>
          <w:rFonts w:ascii="宋体" w:eastAsia="宋体" w:hAnsi="宋体" w:cs="宋体" w:hint="eastAsia"/>
          <w:color w:val="000000" w:themeColor="text1"/>
        </w:rPr>
        <w:t>高级管理人员薪酬标准为：在公司担任管理职务者，按照其在公司任职的职务与岗位领取薪酬，其薪酬由基本薪酬和绩效薪酬两部分构成。绩</w:t>
      </w:r>
      <w:r w:rsidR="005853B7" w:rsidRPr="005853B7">
        <w:rPr>
          <w:rFonts w:ascii="宋体" w:eastAsia="宋体" w:hAnsi="宋体" w:cs="宋体" w:hint="eastAsia"/>
          <w:color w:val="000000" w:themeColor="text1"/>
        </w:rPr>
        <w:lastRenderedPageBreak/>
        <w:t>效薪酬部分根据公司内部与薪酬挂钩的绩效考核标准，采取年度考评方式，围绕工作业绩、职责履行等方面进行考核后发放。</w:t>
      </w:r>
    </w:p>
    <w:p w14:paraId="3E8BD7EF" w14:textId="3D8563A5" w:rsidR="005853B7" w:rsidRPr="005853B7" w:rsidRDefault="005853B7" w:rsidP="005853B7">
      <w:pPr>
        <w:pStyle w:val="a3"/>
        <w:widowControl/>
        <w:spacing w:beforeLines="50" w:before="156" w:beforeAutospacing="0" w:afterLines="50" w:after="156" w:afterAutospacing="0" w:line="360" w:lineRule="auto"/>
        <w:jc w:val="center"/>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第四</w:t>
      </w:r>
      <w:r w:rsidRPr="005853B7">
        <w:rPr>
          <w:rFonts w:ascii="宋体" w:eastAsia="宋体" w:hAnsi="宋体" w:cs="宋体" w:hint="eastAsia"/>
          <w:b/>
          <w:color w:val="000000" w:themeColor="text1"/>
          <w:sz w:val="28"/>
          <w:szCs w:val="28"/>
        </w:rPr>
        <w:t xml:space="preserve">章 </w:t>
      </w:r>
      <w:r>
        <w:rPr>
          <w:rFonts w:ascii="宋体" w:eastAsia="宋体" w:hAnsi="宋体" w:cs="宋体" w:hint="eastAsia"/>
          <w:b/>
          <w:color w:val="000000" w:themeColor="text1"/>
          <w:sz w:val="28"/>
          <w:szCs w:val="28"/>
        </w:rPr>
        <w:t>薪酬发放</w:t>
      </w:r>
    </w:p>
    <w:p w14:paraId="51AB3A29" w14:textId="799BC825" w:rsidR="00181DD9" w:rsidRDefault="005853B7" w:rsidP="005853B7">
      <w:pPr>
        <w:pStyle w:val="a3"/>
        <w:widowControl/>
        <w:numPr>
          <w:ilvl w:val="0"/>
          <w:numId w:val="1"/>
        </w:numPr>
        <w:spacing w:beforeLines="50" w:before="156" w:beforeAutospacing="0" w:afterLines="50" w:after="156" w:afterAutospacing="0" w:line="360" w:lineRule="auto"/>
        <w:rPr>
          <w:rFonts w:ascii="宋体" w:eastAsia="宋体" w:hAnsi="宋体" w:cs="宋体"/>
          <w:color w:val="000000" w:themeColor="text1"/>
        </w:rPr>
      </w:pPr>
      <w:r w:rsidRPr="005853B7">
        <w:rPr>
          <w:rFonts w:ascii="宋体" w:eastAsia="宋体" w:hAnsi="宋体" w:cs="宋体" w:hint="eastAsia"/>
          <w:color w:val="000000" w:themeColor="text1"/>
        </w:rPr>
        <w:t>董事、高级管理人员薪酬及津贴的发放按照公司薪酬相关管理制度执行。</w:t>
      </w:r>
    </w:p>
    <w:p w14:paraId="51F93200" w14:textId="48E32632" w:rsidR="00181DD9" w:rsidRDefault="005853B7" w:rsidP="005853B7">
      <w:pPr>
        <w:pStyle w:val="a3"/>
        <w:widowControl/>
        <w:numPr>
          <w:ilvl w:val="0"/>
          <w:numId w:val="1"/>
        </w:numPr>
        <w:spacing w:beforeLines="50" w:before="156" w:beforeAutospacing="0" w:afterLines="50" w:after="156" w:afterAutospacing="0" w:line="360" w:lineRule="auto"/>
        <w:rPr>
          <w:rFonts w:ascii="宋体" w:eastAsia="宋体" w:hAnsi="宋体" w:cs="宋体"/>
          <w:color w:val="000000" w:themeColor="text1"/>
        </w:rPr>
      </w:pPr>
      <w:r w:rsidRPr="005853B7">
        <w:rPr>
          <w:rFonts w:ascii="宋体" w:eastAsia="宋体" w:hAnsi="宋体" w:cs="宋体" w:hint="eastAsia"/>
          <w:color w:val="000000" w:themeColor="text1"/>
        </w:rPr>
        <w:t>公司董事、高级管理人员因换届、改选、任期内辞任等原因离任的，按其实际任期和实际绩效计算薪酬并予以发放。</w:t>
      </w:r>
    </w:p>
    <w:p w14:paraId="64A1BCDC" w14:textId="58763F08" w:rsidR="005853B7" w:rsidRPr="005853B7" w:rsidRDefault="005853B7" w:rsidP="005853B7">
      <w:pPr>
        <w:pStyle w:val="a3"/>
        <w:widowControl/>
        <w:spacing w:beforeLines="50" w:before="156" w:beforeAutospacing="0" w:afterLines="50" w:after="156" w:afterAutospacing="0" w:line="360" w:lineRule="auto"/>
        <w:jc w:val="center"/>
        <w:rPr>
          <w:rFonts w:ascii="宋体" w:eastAsia="宋体" w:hAnsi="宋体" w:cs="宋体"/>
          <w:b/>
          <w:color w:val="000000" w:themeColor="text1"/>
          <w:sz w:val="28"/>
        </w:rPr>
      </w:pPr>
      <w:r>
        <w:rPr>
          <w:rFonts w:ascii="宋体" w:eastAsia="宋体" w:hAnsi="宋体" w:cs="宋体" w:hint="eastAsia"/>
          <w:b/>
          <w:color w:val="000000" w:themeColor="text1"/>
          <w:sz w:val="28"/>
        </w:rPr>
        <w:t>第五</w:t>
      </w:r>
      <w:r w:rsidRPr="005853B7">
        <w:rPr>
          <w:rFonts w:ascii="宋体" w:eastAsia="宋体" w:hAnsi="宋体" w:cs="宋体" w:hint="eastAsia"/>
          <w:b/>
          <w:color w:val="000000" w:themeColor="text1"/>
          <w:sz w:val="28"/>
        </w:rPr>
        <w:t xml:space="preserve">章 </w:t>
      </w:r>
      <w:r>
        <w:rPr>
          <w:rFonts w:ascii="宋体" w:eastAsia="宋体" w:hAnsi="宋体" w:cs="宋体" w:hint="eastAsia"/>
          <w:b/>
          <w:color w:val="000000" w:themeColor="text1"/>
          <w:sz w:val="28"/>
        </w:rPr>
        <w:t>薪酬调整</w:t>
      </w:r>
    </w:p>
    <w:p w14:paraId="5CE4E195" w14:textId="3EEB52E7" w:rsidR="00181DD9" w:rsidRDefault="005853B7" w:rsidP="005853B7">
      <w:pPr>
        <w:pStyle w:val="a3"/>
        <w:widowControl/>
        <w:numPr>
          <w:ilvl w:val="0"/>
          <w:numId w:val="1"/>
        </w:numPr>
        <w:spacing w:beforeLines="50" w:before="156" w:beforeAutospacing="0" w:afterLines="50" w:after="156" w:afterAutospacing="0" w:line="360" w:lineRule="auto"/>
        <w:rPr>
          <w:rFonts w:ascii="宋体" w:eastAsia="宋体" w:hAnsi="宋体" w:cs="宋体"/>
          <w:color w:val="000000" w:themeColor="text1"/>
        </w:rPr>
      </w:pPr>
      <w:r w:rsidRPr="005853B7">
        <w:rPr>
          <w:rFonts w:ascii="宋体" w:eastAsia="宋体" w:hAnsi="宋体" w:cs="宋体" w:hint="eastAsia"/>
          <w:color w:val="000000" w:themeColor="text1"/>
        </w:rPr>
        <w:t>薪酬体系应为公司的经营战略服务，并随着公司经营状况的不断变化而作相应的调整以适应公司的进一步发展需要。</w:t>
      </w:r>
    </w:p>
    <w:p w14:paraId="2FC1174A" w14:textId="0A58576D" w:rsidR="00181DD9" w:rsidRDefault="00C75E83" w:rsidP="009B1023">
      <w:pPr>
        <w:pStyle w:val="a3"/>
        <w:widowControl/>
        <w:numPr>
          <w:ilvl w:val="0"/>
          <w:numId w:val="1"/>
        </w:numPr>
        <w:spacing w:beforeLines="50" w:before="156" w:beforeAutospacing="0" w:afterLines="50" w:after="156" w:afterAutospacing="0" w:line="360" w:lineRule="auto"/>
        <w:rPr>
          <w:rFonts w:ascii="宋体" w:eastAsia="宋体" w:hAnsi="宋体" w:cs="宋体"/>
          <w:color w:val="000000" w:themeColor="text1"/>
        </w:rPr>
      </w:pPr>
      <w:r>
        <w:rPr>
          <w:rFonts w:ascii="宋体" w:eastAsia="宋体" w:hAnsi="宋体" w:cs="宋体" w:hint="eastAsia"/>
          <w:color w:val="000000" w:themeColor="text1"/>
        </w:rPr>
        <w:t>公司</w:t>
      </w:r>
      <w:r w:rsidR="00DE74C9">
        <w:rPr>
          <w:rFonts w:ascii="宋体" w:eastAsia="宋体" w:hAnsi="宋体" w:cs="宋体" w:hint="eastAsia"/>
          <w:color w:val="000000" w:themeColor="text1"/>
        </w:rPr>
        <w:t>董事、高级管理人员</w:t>
      </w:r>
      <w:r>
        <w:rPr>
          <w:rFonts w:ascii="宋体" w:eastAsia="宋体" w:hAnsi="宋体" w:cs="宋体" w:hint="eastAsia"/>
          <w:color w:val="000000" w:themeColor="text1"/>
        </w:rPr>
        <w:t>的薪酬调整依据为：</w:t>
      </w:r>
    </w:p>
    <w:p w14:paraId="7A1EAD96" w14:textId="0DEEADC0" w:rsidR="00C75E83" w:rsidRDefault="00C75E83" w:rsidP="00C75E83">
      <w:pPr>
        <w:pStyle w:val="a3"/>
        <w:widowControl/>
        <w:spacing w:beforeLines="50" w:before="156" w:beforeAutospacing="0" w:afterLines="50" w:after="156" w:afterAutospacing="0" w:line="360" w:lineRule="auto"/>
        <w:ind w:left="480"/>
        <w:rPr>
          <w:rFonts w:ascii="宋体" w:eastAsia="宋体" w:hAnsi="宋体" w:cs="宋体"/>
          <w:color w:val="000000" w:themeColor="text1"/>
        </w:rPr>
      </w:pPr>
      <w:r>
        <w:rPr>
          <w:rFonts w:ascii="宋体" w:eastAsia="宋体" w:hAnsi="宋体" w:cs="宋体" w:hint="eastAsia"/>
          <w:color w:val="000000" w:themeColor="text1"/>
        </w:rPr>
        <w:t>（一）</w:t>
      </w:r>
      <w:r w:rsidR="00A52E0E" w:rsidRPr="00A52E0E">
        <w:rPr>
          <w:rFonts w:ascii="宋体" w:eastAsia="宋体" w:hAnsi="宋体" w:cs="宋体" w:hint="eastAsia"/>
          <w:color w:val="000000" w:themeColor="text1"/>
        </w:rPr>
        <w:t>同行业薪酬增幅水平；</w:t>
      </w:r>
    </w:p>
    <w:p w14:paraId="334D28F7" w14:textId="3FB345EE" w:rsidR="00C75E83" w:rsidRDefault="00C75E83" w:rsidP="00C75E83">
      <w:pPr>
        <w:pStyle w:val="a3"/>
        <w:widowControl/>
        <w:spacing w:beforeLines="50" w:before="156" w:beforeAutospacing="0" w:afterLines="50" w:after="156" w:afterAutospacing="0" w:line="360" w:lineRule="auto"/>
        <w:ind w:left="480"/>
        <w:rPr>
          <w:rFonts w:ascii="宋体" w:eastAsia="宋体" w:hAnsi="宋体" w:cs="宋体"/>
          <w:color w:val="000000" w:themeColor="text1"/>
        </w:rPr>
      </w:pPr>
      <w:r>
        <w:rPr>
          <w:rFonts w:ascii="宋体" w:eastAsia="宋体" w:hAnsi="宋体" w:cs="宋体" w:hint="eastAsia"/>
          <w:color w:val="000000" w:themeColor="text1"/>
        </w:rPr>
        <w:t>（二）</w:t>
      </w:r>
      <w:r w:rsidR="00A52E0E" w:rsidRPr="00A52E0E">
        <w:rPr>
          <w:rFonts w:ascii="宋体" w:eastAsia="宋体" w:hAnsi="宋体" w:cs="宋体" w:hint="eastAsia"/>
          <w:color w:val="000000" w:themeColor="text1"/>
        </w:rPr>
        <w:t>通胀水平；</w:t>
      </w:r>
    </w:p>
    <w:p w14:paraId="01D20D22" w14:textId="2292D856" w:rsidR="00C75E83" w:rsidRDefault="00C75E83" w:rsidP="00C75E83">
      <w:pPr>
        <w:pStyle w:val="a3"/>
        <w:widowControl/>
        <w:spacing w:beforeLines="50" w:before="156" w:beforeAutospacing="0" w:afterLines="50" w:after="156" w:afterAutospacing="0" w:line="360" w:lineRule="auto"/>
        <w:ind w:left="480"/>
        <w:rPr>
          <w:rFonts w:ascii="宋体" w:eastAsia="宋体" w:hAnsi="宋体" w:cs="宋体"/>
          <w:color w:val="000000" w:themeColor="text1"/>
        </w:rPr>
      </w:pPr>
      <w:r>
        <w:rPr>
          <w:rFonts w:ascii="宋体" w:eastAsia="宋体" w:hAnsi="宋体" w:cs="宋体" w:hint="eastAsia"/>
          <w:color w:val="000000" w:themeColor="text1"/>
        </w:rPr>
        <w:t>（三）</w:t>
      </w:r>
      <w:r w:rsidR="00A52E0E" w:rsidRPr="00A52E0E">
        <w:rPr>
          <w:rFonts w:ascii="宋体" w:eastAsia="宋体" w:hAnsi="宋体" w:cs="宋体" w:hint="eastAsia"/>
          <w:color w:val="000000" w:themeColor="text1"/>
        </w:rPr>
        <w:t>公司盈利状况；</w:t>
      </w:r>
    </w:p>
    <w:p w14:paraId="011E5633" w14:textId="1EDBD1F6" w:rsidR="00C75E83" w:rsidRDefault="00C75E83" w:rsidP="00C75E83">
      <w:pPr>
        <w:pStyle w:val="a3"/>
        <w:widowControl/>
        <w:spacing w:beforeLines="50" w:before="156" w:beforeAutospacing="0" w:afterLines="50" w:after="156" w:afterAutospacing="0" w:line="360" w:lineRule="auto"/>
        <w:ind w:left="480"/>
        <w:rPr>
          <w:rFonts w:ascii="宋体" w:eastAsia="宋体" w:hAnsi="宋体" w:cs="宋体"/>
          <w:color w:val="000000" w:themeColor="text1"/>
        </w:rPr>
      </w:pPr>
      <w:r>
        <w:rPr>
          <w:rFonts w:ascii="宋体" w:eastAsia="宋体" w:hAnsi="宋体" w:cs="宋体" w:hint="eastAsia"/>
          <w:color w:val="000000" w:themeColor="text1"/>
        </w:rPr>
        <w:t>（四）</w:t>
      </w:r>
      <w:r w:rsidR="00A52E0E" w:rsidRPr="00A52E0E">
        <w:rPr>
          <w:rFonts w:ascii="宋体" w:eastAsia="宋体" w:hAnsi="宋体" w:cs="宋体" w:hint="eastAsia"/>
          <w:color w:val="000000" w:themeColor="text1"/>
        </w:rPr>
        <w:t>公司发展战略或组织结构调整；</w:t>
      </w:r>
    </w:p>
    <w:p w14:paraId="7A9FEC55" w14:textId="786D1CC7" w:rsidR="00C75E83" w:rsidRDefault="00C75E83" w:rsidP="00C75E83">
      <w:pPr>
        <w:pStyle w:val="a3"/>
        <w:widowControl/>
        <w:spacing w:beforeLines="50" w:before="156" w:beforeAutospacing="0" w:afterLines="50" w:after="156" w:afterAutospacing="0" w:line="360" w:lineRule="auto"/>
        <w:ind w:left="480"/>
        <w:rPr>
          <w:rFonts w:ascii="宋体" w:eastAsia="宋体" w:hAnsi="宋体" w:cs="宋体"/>
          <w:color w:val="000000" w:themeColor="text1"/>
        </w:rPr>
      </w:pPr>
      <w:r>
        <w:rPr>
          <w:rFonts w:ascii="宋体" w:eastAsia="宋体" w:hAnsi="宋体" w:cs="宋体" w:hint="eastAsia"/>
          <w:color w:val="000000" w:themeColor="text1"/>
        </w:rPr>
        <w:t>（五）</w:t>
      </w:r>
      <w:r w:rsidR="00A52E0E" w:rsidRPr="00A52E0E">
        <w:rPr>
          <w:rFonts w:ascii="宋体" w:eastAsia="宋体" w:hAnsi="宋体" w:cs="宋体" w:hint="eastAsia"/>
          <w:color w:val="000000" w:themeColor="text1"/>
        </w:rPr>
        <w:t>个人岗位调整或职务变化。</w:t>
      </w:r>
    </w:p>
    <w:p w14:paraId="0CF5E65F" w14:textId="11EE4659" w:rsidR="00A52E0E" w:rsidRPr="00A52E0E" w:rsidRDefault="00A52E0E" w:rsidP="00A52E0E">
      <w:pPr>
        <w:pStyle w:val="a3"/>
        <w:widowControl/>
        <w:spacing w:beforeLines="50" w:before="156" w:beforeAutospacing="0" w:afterLines="50" w:after="156" w:afterAutospacing="0" w:line="360" w:lineRule="auto"/>
        <w:jc w:val="center"/>
        <w:rPr>
          <w:rFonts w:ascii="宋体" w:eastAsia="宋体" w:hAnsi="宋体" w:cs="宋体"/>
          <w:b/>
          <w:color w:val="000000" w:themeColor="text1"/>
          <w:sz w:val="28"/>
        </w:rPr>
      </w:pPr>
      <w:r>
        <w:rPr>
          <w:rFonts w:ascii="宋体" w:eastAsia="宋体" w:hAnsi="宋体" w:cs="宋体" w:hint="eastAsia"/>
          <w:b/>
          <w:color w:val="000000" w:themeColor="text1"/>
          <w:sz w:val="28"/>
        </w:rPr>
        <w:t>第六</w:t>
      </w:r>
      <w:r w:rsidRPr="00A52E0E">
        <w:rPr>
          <w:rFonts w:ascii="宋体" w:eastAsia="宋体" w:hAnsi="宋体" w:cs="宋体" w:hint="eastAsia"/>
          <w:b/>
          <w:color w:val="000000" w:themeColor="text1"/>
          <w:sz w:val="28"/>
        </w:rPr>
        <w:t xml:space="preserve">章 </w:t>
      </w:r>
      <w:r>
        <w:rPr>
          <w:rFonts w:ascii="宋体" w:eastAsia="宋体" w:hAnsi="宋体" w:cs="宋体" w:hint="eastAsia"/>
          <w:b/>
          <w:color w:val="000000" w:themeColor="text1"/>
          <w:sz w:val="28"/>
        </w:rPr>
        <w:t>附则</w:t>
      </w:r>
    </w:p>
    <w:p w14:paraId="0E8B309B" w14:textId="784D76DA" w:rsidR="00181DD9" w:rsidRDefault="00A52E0E" w:rsidP="00A52E0E">
      <w:pPr>
        <w:pStyle w:val="a3"/>
        <w:widowControl/>
        <w:numPr>
          <w:ilvl w:val="0"/>
          <w:numId w:val="1"/>
        </w:numPr>
        <w:spacing w:beforeLines="50" w:before="156" w:beforeAutospacing="0" w:afterLines="50" w:after="156" w:afterAutospacing="0" w:line="360" w:lineRule="auto"/>
        <w:jc w:val="both"/>
        <w:rPr>
          <w:rFonts w:ascii="宋体" w:eastAsia="宋体" w:hAnsi="宋体" w:cs="宋体"/>
          <w:color w:val="000000" w:themeColor="text1"/>
        </w:rPr>
      </w:pPr>
      <w:r w:rsidRPr="00A52E0E">
        <w:rPr>
          <w:rFonts w:ascii="宋体" w:eastAsia="宋体" w:hAnsi="宋体" w:cs="宋体" w:hint="eastAsia"/>
          <w:color w:val="000000" w:themeColor="text1"/>
        </w:rPr>
        <w:t>本制度自公司股东会审议通过之日起生效</w:t>
      </w:r>
      <w:r>
        <w:rPr>
          <w:rFonts w:ascii="宋体" w:eastAsia="宋体" w:hAnsi="宋体" w:cs="宋体" w:hint="eastAsia"/>
          <w:color w:val="000000" w:themeColor="text1"/>
        </w:rPr>
        <w:t>并</w:t>
      </w:r>
      <w:r w:rsidRPr="00A52E0E">
        <w:rPr>
          <w:rFonts w:ascii="宋体" w:eastAsia="宋体" w:hAnsi="宋体" w:cs="宋体" w:hint="eastAsia"/>
          <w:color w:val="000000" w:themeColor="text1"/>
        </w:rPr>
        <w:t>施行，修改时亦同。</w:t>
      </w:r>
    </w:p>
    <w:p w14:paraId="4B86595A" w14:textId="59CF116B" w:rsidR="00181DD9" w:rsidRDefault="009B1023" w:rsidP="009B1023">
      <w:pPr>
        <w:pStyle w:val="a3"/>
        <w:widowControl/>
        <w:numPr>
          <w:ilvl w:val="0"/>
          <w:numId w:val="1"/>
        </w:numPr>
        <w:spacing w:beforeLines="50" w:before="156" w:beforeAutospacing="0" w:afterLines="50" w:after="156" w:afterAutospacing="0" w:line="360" w:lineRule="auto"/>
        <w:rPr>
          <w:rFonts w:ascii="宋体" w:eastAsia="宋体" w:hAnsi="宋体" w:cs="宋体"/>
          <w:color w:val="000000" w:themeColor="text1"/>
        </w:rPr>
      </w:pPr>
      <w:r w:rsidRPr="009B1023">
        <w:rPr>
          <w:rFonts w:ascii="宋体" w:eastAsia="宋体" w:hAnsi="宋体" w:cs="宋体" w:hint="eastAsia"/>
          <w:color w:val="000000" w:themeColor="text1"/>
        </w:rPr>
        <w:t>本制度未尽事宜，按国家有关法律、行政法规、部门规章、规范性文件和《公司章程》的规定执行；本制度与有关法律、行政法规、部门规章、规范性文件以及《公司章程》的有关规定不一致的，以有关法律、行政法规、部门规章、规范性文件以及《公司章程》的有关规定为准；本制度如与国家日后颁布的法律、行政法规、部门规章、规范性文件或经合法程序修改后的《公司章程》</w:t>
      </w:r>
      <w:r w:rsidRPr="009B1023">
        <w:rPr>
          <w:rFonts w:ascii="宋体" w:eastAsia="宋体" w:hAnsi="宋体" w:cs="宋体" w:hint="eastAsia"/>
          <w:color w:val="000000" w:themeColor="text1"/>
        </w:rPr>
        <w:lastRenderedPageBreak/>
        <w:t>相抵触时，按国家有关法律、行政法规、部门规章、规范性文件和《公司章程》的规定执行。</w:t>
      </w:r>
    </w:p>
    <w:p w14:paraId="2D38D744" w14:textId="298B45E5" w:rsidR="00181DD9" w:rsidRDefault="00A52E0E" w:rsidP="00A52E0E">
      <w:pPr>
        <w:pStyle w:val="a3"/>
        <w:widowControl/>
        <w:numPr>
          <w:ilvl w:val="0"/>
          <w:numId w:val="1"/>
        </w:numPr>
        <w:spacing w:beforeLines="50" w:before="156" w:beforeAutospacing="0" w:afterLines="50" w:after="156" w:afterAutospacing="0" w:line="360" w:lineRule="auto"/>
        <w:rPr>
          <w:rFonts w:ascii="宋体" w:eastAsia="宋体" w:hAnsi="宋体" w:cs="宋体"/>
          <w:color w:val="000000" w:themeColor="text1"/>
        </w:rPr>
      </w:pPr>
      <w:r w:rsidRPr="00A52E0E">
        <w:rPr>
          <w:rFonts w:ascii="宋体" w:eastAsia="宋体" w:hAnsi="宋体" w:cs="宋体" w:hint="eastAsia"/>
          <w:color w:val="000000" w:themeColor="text1"/>
        </w:rPr>
        <w:t>本制度由公司董事会负责解释。</w:t>
      </w:r>
    </w:p>
    <w:sectPr w:rsidR="00181DD9" w:rsidSect="0077071A">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83CF8" w14:textId="77777777" w:rsidR="00AE4E87" w:rsidRDefault="00AE4E87" w:rsidP="00C162D5">
      <w:r>
        <w:separator/>
      </w:r>
    </w:p>
  </w:endnote>
  <w:endnote w:type="continuationSeparator" w:id="0">
    <w:p w14:paraId="05C1DED0" w14:textId="77777777" w:rsidR="00AE4E87" w:rsidRDefault="00AE4E87" w:rsidP="00C1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DF82A" w14:textId="1BC2B76D" w:rsidR="0077071A" w:rsidRDefault="0077071A">
    <w:pPr>
      <w:pStyle w:val="a7"/>
      <w:jc w:val="center"/>
    </w:pPr>
  </w:p>
  <w:p w14:paraId="7B6AC22E" w14:textId="77777777" w:rsidR="0077071A" w:rsidRDefault="0077071A">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218479"/>
      <w:docPartObj>
        <w:docPartGallery w:val="Page Numbers (Bottom of Page)"/>
        <w:docPartUnique/>
      </w:docPartObj>
    </w:sdtPr>
    <w:sdtContent>
      <w:p w14:paraId="62EF4399" w14:textId="6B3DEB25" w:rsidR="0077071A" w:rsidRDefault="0077071A">
        <w:pPr>
          <w:pStyle w:val="a7"/>
          <w:jc w:val="center"/>
        </w:pPr>
        <w:r>
          <w:fldChar w:fldCharType="begin"/>
        </w:r>
        <w:r>
          <w:instrText>PAGE   \* MERGEFORMAT</w:instrText>
        </w:r>
        <w:r>
          <w:fldChar w:fldCharType="separate"/>
        </w:r>
        <w:r w:rsidRPr="0077071A">
          <w:rPr>
            <w:noProof/>
            <w:lang w:val="zh-CN"/>
          </w:rPr>
          <w:t>2</w:t>
        </w:r>
        <w:r>
          <w:fldChar w:fldCharType="end"/>
        </w:r>
      </w:p>
    </w:sdtContent>
  </w:sdt>
  <w:p w14:paraId="10012AB6" w14:textId="77777777" w:rsidR="0077071A" w:rsidRDefault="0077071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CABA0" w14:textId="77777777" w:rsidR="00AE4E87" w:rsidRDefault="00AE4E87" w:rsidP="00C162D5">
      <w:r>
        <w:separator/>
      </w:r>
    </w:p>
  </w:footnote>
  <w:footnote w:type="continuationSeparator" w:id="0">
    <w:p w14:paraId="1A7B38AE" w14:textId="77777777" w:rsidR="00AE4E87" w:rsidRDefault="00AE4E87" w:rsidP="00C162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3AFAF" w14:textId="6504BC6B" w:rsidR="00C162D5" w:rsidRDefault="00C162D5">
    <w:pPr>
      <w:pStyle w:val="a5"/>
    </w:pPr>
    <w:r>
      <w:rPr>
        <w:rFonts w:hint="eastAsia"/>
      </w:rPr>
      <w:t>倍加洁集团股份有限公司</w:t>
    </w:r>
    <w:r>
      <w:ptab w:relativeTo="margin" w:alignment="center" w:leader="none"/>
    </w:r>
    <w:r>
      <w:ptab w:relativeTo="margin" w:alignment="right" w:leader="none"/>
    </w:r>
    <w:r>
      <w:rPr>
        <w:rFonts w:hint="eastAsia"/>
      </w:rPr>
      <w:t>董事、高级管理人员薪酬管理制度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641DC"/>
    <w:multiLevelType w:val="singleLevel"/>
    <w:tmpl w:val="1A7641DC"/>
    <w:lvl w:ilvl="0">
      <w:start w:val="1"/>
      <w:numFmt w:val="chineseCounting"/>
      <w:suff w:val="nothing"/>
      <w:lvlText w:val="第%1条 "/>
      <w:lvlJc w:val="left"/>
      <w:pPr>
        <w:ind w:left="0" w:firstLine="420"/>
      </w:pPr>
      <w:rPr>
        <w:rFonts w:hint="eastAsia"/>
        <w:b/>
        <w:bCs/>
        <w:sz w:val="24"/>
        <w:szCs w:val="24"/>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0N2YwMTc3ODRlNTkxYzJiZTEzZTRiMDZkNGI1NDMifQ=="/>
    <w:docVar w:name="KSO_WPS_MARK_KEY" w:val="941a3c98-8099-4be8-b0cb-4d6d23a9319e"/>
  </w:docVars>
  <w:rsids>
    <w:rsidRoot w:val="5B4A3D42"/>
    <w:rsid w:val="00055C39"/>
    <w:rsid w:val="000B509B"/>
    <w:rsid w:val="000E26E0"/>
    <w:rsid w:val="000F1169"/>
    <w:rsid w:val="00124D25"/>
    <w:rsid w:val="00171D07"/>
    <w:rsid w:val="00181DD9"/>
    <w:rsid w:val="001D015C"/>
    <w:rsid w:val="00257DCD"/>
    <w:rsid w:val="00306A48"/>
    <w:rsid w:val="00307CC4"/>
    <w:rsid w:val="0031680C"/>
    <w:rsid w:val="00337369"/>
    <w:rsid w:val="00380CE7"/>
    <w:rsid w:val="00421A01"/>
    <w:rsid w:val="0042649D"/>
    <w:rsid w:val="004B044F"/>
    <w:rsid w:val="00502728"/>
    <w:rsid w:val="00505E0D"/>
    <w:rsid w:val="005853B7"/>
    <w:rsid w:val="005B4347"/>
    <w:rsid w:val="005F5B3B"/>
    <w:rsid w:val="00600447"/>
    <w:rsid w:val="00616B80"/>
    <w:rsid w:val="00645B32"/>
    <w:rsid w:val="0065625D"/>
    <w:rsid w:val="006A281E"/>
    <w:rsid w:val="0077071A"/>
    <w:rsid w:val="00782466"/>
    <w:rsid w:val="007C7546"/>
    <w:rsid w:val="008414FF"/>
    <w:rsid w:val="008650B5"/>
    <w:rsid w:val="00895656"/>
    <w:rsid w:val="008A267D"/>
    <w:rsid w:val="008B28BE"/>
    <w:rsid w:val="008D686D"/>
    <w:rsid w:val="009A4B89"/>
    <w:rsid w:val="009A76E9"/>
    <w:rsid w:val="009B1023"/>
    <w:rsid w:val="00A032B7"/>
    <w:rsid w:val="00A52E0E"/>
    <w:rsid w:val="00AE4E87"/>
    <w:rsid w:val="00AF15AF"/>
    <w:rsid w:val="00B130AE"/>
    <w:rsid w:val="00B54ABF"/>
    <w:rsid w:val="00BA0CD7"/>
    <w:rsid w:val="00BB5F8F"/>
    <w:rsid w:val="00BC59EF"/>
    <w:rsid w:val="00C14DAF"/>
    <w:rsid w:val="00C162D5"/>
    <w:rsid w:val="00C26D82"/>
    <w:rsid w:val="00C75E83"/>
    <w:rsid w:val="00C82668"/>
    <w:rsid w:val="00C82B46"/>
    <w:rsid w:val="00CC2628"/>
    <w:rsid w:val="00CC54C3"/>
    <w:rsid w:val="00D250F5"/>
    <w:rsid w:val="00D6045C"/>
    <w:rsid w:val="00D67E7E"/>
    <w:rsid w:val="00D908A1"/>
    <w:rsid w:val="00DE3592"/>
    <w:rsid w:val="00DE74C9"/>
    <w:rsid w:val="00E02CAC"/>
    <w:rsid w:val="00E170FD"/>
    <w:rsid w:val="00E32669"/>
    <w:rsid w:val="00E4307E"/>
    <w:rsid w:val="00EB5C34"/>
    <w:rsid w:val="00EC295D"/>
    <w:rsid w:val="00F046AA"/>
    <w:rsid w:val="00F6093A"/>
    <w:rsid w:val="00FB2753"/>
    <w:rsid w:val="00FB5463"/>
    <w:rsid w:val="00FD1805"/>
    <w:rsid w:val="028E4F47"/>
    <w:rsid w:val="029E00A5"/>
    <w:rsid w:val="075F5E39"/>
    <w:rsid w:val="0FC36003"/>
    <w:rsid w:val="10647972"/>
    <w:rsid w:val="19473D6A"/>
    <w:rsid w:val="351C7AAF"/>
    <w:rsid w:val="49FD01CC"/>
    <w:rsid w:val="51035B58"/>
    <w:rsid w:val="5B4A3D42"/>
    <w:rsid w:val="7A1D7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9B6A42"/>
  <w15:docId w15:val="{E7B31E99-8E13-4B8F-B31A-28B8E522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List Paragraph"/>
    <w:basedOn w:val="a"/>
    <w:uiPriority w:val="99"/>
    <w:rsid w:val="00A032B7"/>
    <w:pPr>
      <w:ind w:firstLineChars="200" w:firstLine="420"/>
    </w:pPr>
  </w:style>
  <w:style w:type="paragraph" w:styleId="a5">
    <w:name w:val="header"/>
    <w:basedOn w:val="a"/>
    <w:link w:val="a6"/>
    <w:rsid w:val="00C162D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C162D5"/>
    <w:rPr>
      <w:rFonts w:asciiTheme="minorHAnsi" w:eastAsiaTheme="minorEastAsia" w:hAnsiTheme="minorHAnsi" w:cstheme="minorBidi"/>
      <w:kern w:val="2"/>
      <w:sz w:val="18"/>
      <w:szCs w:val="18"/>
    </w:rPr>
  </w:style>
  <w:style w:type="paragraph" w:styleId="a7">
    <w:name w:val="footer"/>
    <w:basedOn w:val="a"/>
    <w:link w:val="a8"/>
    <w:uiPriority w:val="99"/>
    <w:rsid w:val="00C162D5"/>
    <w:pPr>
      <w:tabs>
        <w:tab w:val="center" w:pos="4153"/>
        <w:tab w:val="right" w:pos="8306"/>
      </w:tabs>
      <w:snapToGrid w:val="0"/>
      <w:jc w:val="left"/>
    </w:pPr>
    <w:rPr>
      <w:sz w:val="18"/>
      <w:szCs w:val="18"/>
    </w:rPr>
  </w:style>
  <w:style w:type="character" w:customStyle="1" w:styleId="a8">
    <w:name w:val="页脚 字符"/>
    <w:basedOn w:val="a0"/>
    <w:link w:val="a7"/>
    <w:uiPriority w:val="99"/>
    <w:rsid w:val="00C162D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4</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艾琴</dc:creator>
  <cp:lastModifiedBy>孙彬</cp:lastModifiedBy>
  <cp:revision>352</cp:revision>
  <dcterms:created xsi:type="dcterms:W3CDTF">2025-04-29T06:19:00Z</dcterms:created>
  <dcterms:modified xsi:type="dcterms:W3CDTF">2025-08-26T03:12:00Z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541D85B254F144299A9DD1ED5DC9A824_11</vt:lpwstr>
  </property>
  <property fmtid="{D5CDD505-2E9C-101B-9397-08002B2CF9AE}" pid="4" name="KSOTemplateDocerSaveRecord">
    <vt:lpwstr>eyJoZGlkIjoiNTZmN2Y3YzM1OTcwMDliZTg1ZDBmYzdhZDJmZWNhZTIifQ==</vt:lpwstr>
  </property>
</Properties>
</file>