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B73A9" w14:textId="2C79D3FD" w:rsidR="006740E1" w:rsidRPr="005733EA" w:rsidRDefault="00674AB8" w:rsidP="005733EA">
      <w:pPr>
        <w:adjustRightInd w:val="0"/>
        <w:snapToGrid w:val="0"/>
        <w:spacing w:line="560" w:lineRule="exact"/>
        <w:jc w:val="left"/>
        <w:rPr>
          <w:rFonts w:ascii="仿宋" w:eastAsia="仿宋_GB2312" w:hAnsi="仿宋"/>
          <w:sz w:val="28"/>
          <w:szCs w:val="30"/>
        </w:rPr>
      </w:pPr>
      <w:r w:rsidRPr="005733EA">
        <w:rPr>
          <w:rFonts w:ascii="仿宋" w:eastAsia="仿宋_GB2312" w:hAnsi="仿宋" w:hint="eastAsia"/>
          <w:sz w:val="28"/>
          <w:szCs w:val="30"/>
        </w:rPr>
        <w:t>证券代码：</w:t>
      </w:r>
      <w:r w:rsidR="005733EA">
        <w:rPr>
          <w:rFonts w:ascii="仿宋" w:eastAsia="仿宋_GB2312" w:hAnsi="仿宋" w:hint="eastAsia"/>
          <w:sz w:val="28"/>
          <w:szCs w:val="30"/>
        </w:rPr>
        <w:t>6</w:t>
      </w:r>
      <w:r w:rsidR="005733EA">
        <w:rPr>
          <w:rFonts w:ascii="仿宋" w:eastAsia="仿宋_GB2312" w:hAnsi="仿宋"/>
          <w:sz w:val="28"/>
          <w:szCs w:val="30"/>
        </w:rPr>
        <w:t xml:space="preserve">03059      </w:t>
      </w:r>
      <w:r w:rsidRPr="005733EA">
        <w:rPr>
          <w:rFonts w:ascii="仿宋" w:eastAsia="仿宋_GB2312" w:hAnsi="仿宋" w:hint="eastAsia"/>
          <w:sz w:val="28"/>
          <w:szCs w:val="30"/>
        </w:rPr>
        <w:t>证券简称：</w:t>
      </w:r>
      <w:r w:rsidR="005733EA">
        <w:rPr>
          <w:rFonts w:ascii="仿宋" w:eastAsia="仿宋_GB2312" w:hAnsi="仿宋" w:hint="eastAsia"/>
          <w:sz w:val="28"/>
          <w:szCs w:val="30"/>
        </w:rPr>
        <w:t>倍加洁</w:t>
      </w:r>
      <w:r w:rsidR="005733EA">
        <w:rPr>
          <w:rFonts w:ascii="仿宋" w:eastAsia="仿宋_GB2312" w:hAnsi="仿宋"/>
          <w:sz w:val="28"/>
          <w:szCs w:val="30"/>
        </w:rPr>
        <w:t xml:space="preserve">      </w:t>
      </w:r>
      <w:r w:rsidRPr="005733EA">
        <w:rPr>
          <w:rFonts w:ascii="仿宋" w:eastAsia="仿宋_GB2312" w:hAnsi="仿宋" w:hint="eastAsia"/>
          <w:sz w:val="28"/>
          <w:szCs w:val="30"/>
        </w:rPr>
        <w:t>公告编号：</w:t>
      </w:r>
      <w:r w:rsidR="005733EA">
        <w:rPr>
          <w:rFonts w:ascii="仿宋" w:eastAsia="仿宋_GB2312" w:hAnsi="仿宋" w:hint="eastAsia"/>
          <w:sz w:val="28"/>
          <w:szCs w:val="30"/>
        </w:rPr>
        <w:t>2</w:t>
      </w:r>
      <w:r w:rsidR="00422487">
        <w:rPr>
          <w:rFonts w:ascii="仿宋" w:eastAsia="仿宋_GB2312" w:hAnsi="仿宋"/>
          <w:sz w:val="28"/>
          <w:szCs w:val="30"/>
        </w:rPr>
        <w:t>025-028</w:t>
      </w:r>
    </w:p>
    <w:p w14:paraId="3E913639" w14:textId="3B81EAC7" w:rsidR="005733EA" w:rsidRPr="005B02C8" w:rsidRDefault="005733EA" w:rsidP="005733EA">
      <w:pPr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b/>
          <w:color w:val="FF0000"/>
          <w:sz w:val="30"/>
          <w:szCs w:val="30"/>
        </w:rPr>
      </w:pPr>
      <w:r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倍加洁集团</w:t>
      </w:r>
      <w:r w:rsidR="00864A4F"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股份有限公司</w:t>
      </w:r>
    </w:p>
    <w:p w14:paraId="3570CB53" w14:textId="6401D0C0" w:rsidR="006740E1" w:rsidRPr="005B02C8" w:rsidRDefault="005733EA" w:rsidP="005733EA">
      <w:pPr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b/>
          <w:color w:val="FF0000"/>
          <w:sz w:val="30"/>
          <w:szCs w:val="30"/>
        </w:rPr>
      </w:pPr>
      <w:r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第三届</w:t>
      </w:r>
      <w:r w:rsidR="00864A4F"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监事会</w:t>
      </w:r>
      <w:r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第十三次会议</w:t>
      </w:r>
      <w:r w:rsidR="00864A4F" w:rsidRPr="005B02C8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决议公告</w:t>
      </w:r>
    </w:p>
    <w:p w14:paraId="4334FA15" w14:textId="77777777" w:rsidR="006740E1" w:rsidRDefault="006740E1" w:rsidP="005B02C8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14:paraId="34E1D210" w14:textId="68A9A569" w:rsidR="006740E1" w:rsidRDefault="00864A4F" w:rsidP="005B02C8">
      <w:pPr>
        <w:pStyle w:val="p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本公司监事会及全体监事保证本公告内容不存在任何虚假记载、误导性陈述或者重大遗漏，并对其内容的真实性、准确性和完整性承担</w:t>
      </w:r>
      <w:r w:rsidR="00756641">
        <w:rPr>
          <w:rFonts w:ascii="仿宋" w:eastAsia="仿宋_GB2312" w:hAnsi="仿宋" w:hint="eastAsia"/>
          <w:color w:val="000000"/>
          <w:sz w:val="30"/>
          <w:szCs w:val="30"/>
        </w:rPr>
        <w:t>法律</w:t>
      </w:r>
      <w:r>
        <w:rPr>
          <w:rFonts w:ascii="仿宋" w:eastAsia="仿宋_GB2312" w:hAnsi="仿宋" w:hint="eastAsia"/>
          <w:color w:val="000000"/>
          <w:sz w:val="30"/>
          <w:szCs w:val="30"/>
        </w:rPr>
        <w:t>责任。</w:t>
      </w:r>
    </w:p>
    <w:p w14:paraId="56448036" w14:textId="77777777" w:rsidR="006740E1" w:rsidRDefault="006740E1" w:rsidP="00D64D5A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2"/>
        <w:rPr>
          <w:rFonts w:ascii="仿宋" w:eastAsia="仿宋_GB2312" w:hAnsi="仿宋" w:cs="宋体"/>
          <w:b/>
          <w:color w:val="000000"/>
          <w:kern w:val="0"/>
          <w:sz w:val="30"/>
          <w:szCs w:val="30"/>
        </w:rPr>
      </w:pPr>
    </w:p>
    <w:p w14:paraId="4BE89618" w14:textId="14CA7A88" w:rsidR="006740E1" w:rsidRDefault="005A4F98" w:rsidP="00D64D5A">
      <w:pPr>
        <w:autoSpaceDE w:val="0"/>
        <w:autoSpaceDN w:val="0"/>
        <w:adjustRightInd w:val="0"/>
        <w:spacing w:line="560" w:lineRule="exact"/>
        <w:ind w:firstLineChars="192" w:firstLine="578"/>
        <w:jc w:val="left"/>
        <w:rPr>
          <w:rFonts w:ascii="黑体" w:eastAsia="黑体" w:hAnsi="黑体" w:cs="宋体-WinCharSetFFFF-H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-WinCharSetFFFF-H" w:hint="eastAsia"/>
          <w:b/>
          <w:color w:val="000000"/>
          <w:kern w:val="0"/>
          <w:sz w:val="30"/>
          <w:szCs w:val="30"/>
        </w:rPr>
        <w:t>一、</w:t>
      </w:r>
      <w:r w:rsidR="00864A4F">
        <w:rPr>
          <w:rFonts w:ascii="黑体" w:eastAsia="黑体" w:hAnsi="黑体" w:cs="宋体-WinCharSetFFFF-H" w:hint="eastAsia"/>
          <w:b/>
          <w:color w:val="000000"/>
          <w:kern w:val="0"/>
          <w:sz w:val="30"/>
          <w:szCs w:val="30"/>
        </w:rPr>
        <w:t>监事会会议召开情况</w:t>
      </w:r>
    </w:p>
    <w:p w14:paraId="50102783" w14:textId="3C678AF7" w:rsidR="006740E1" w:rsidRDefault="009306FE" w:rsidP="009306FE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倍加洁集团股份有限公司（以下简称“公司”）于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19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日以邮件方式向各位监事发出了召开第三届监事会第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十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三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次会议的通知。会议于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4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月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29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日在公司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8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号会议室以现场方式召开。会议由</w:t>
      </w:r>
      <w:r w:rsidR="00DD59E3" w:rsidRPr="00DD59E3">
        <w:rPr>
          <w:rFonts w:ascii="仿宋" w:eastAsia="仿宋_GB2312" w:hAnsi="仿宋" w:hint="eastAsia"/>
          <w:color w:val="000000"/>
          <w:sz w:val="30"/>
          <w:szCs w:val="30"/>
        </w:rPr>
        <w:t>监事会主席徐玲女士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主持，本次会议应出席监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事</w:t>
      </w:r>
      <w:r w:rsidR="00DD59E3">
        <w:rPr>
          <w:rFonts w:ascii="仿宋" w:eastAsia="仿宋_GB2312" w:hAnsi="仿宋"/>
          <w:color w:val="000000"/>
          <w:sz w:val="30"/>
          <w:szCs w:val="30"/>
        </w:rPr>
        <w:t>3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人，实际出席监事</w:t>
      </w:r>
      <w:r w:rsidR="00DD59E3">
        <w:rPr>
          <w:rFonts w:ascii="仿宋" w:eastAsia="仿宋_GB2312" w:hAnsi="仿宋"/>
          <w:color w:val="000000"/>
          <w:sz w:val="30"/>
          <w:szCs w:val="30"/>
        </w:rPr>
        <w:t>3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人，</w:t>
      </w:r>
      <w:r w:rsidR="0056304B">
        <w:rPr>
          <w:rFonts w:ascii="仿宋" w:eastAsia="仿宋_GB2312" w:hAnsi="仿宋" w:hint="eastAsia"/>
          <w:color w:val="000000"/>
          <w:sz w:val="30"/>
          <w:szCs w:val="30"/>
        </w:rPr>
        <w:t>董事会秘书</w:t>
      </w:r>
      <w:r w:rsidR="0056304B" w:rsidRPr="0056304B">
        <w:rPr>
          <w:rFonts w:ascii="仿宋" w:eastAsia="仿宋_GB2312" w:hAnsi="仿宋" w:hint="eastAsia"/>
          <w:color w:val="000000"/>
          <w:sz w:val="30"/>
          <w:szCs w:val="30"/>
        </w:rPr>
        <w:t>列席了会议</w:t>
      </w:r>
      <w:r w:rsidR="00DD59E3">
        <w:rPr>
          <w:rFonts w:ascii="仿宋" w:eastAsia="仿宋_GB2312" w:hAnsi="仿宋" w:hint="eastAsia"/>
          <w:color w:val="000000"/>
          <w:sz w:val="30"/>
          <w:szCs w:val="30"/>
        </w:rPr>
        <w:t>。本次监</w:t>
      </w:r>
      <w:r w:rsidRPr="009306FE">
        <w:rPr>
          <w:rFonts w:ascii="仿宋" w:eastAsia="仿宋_GB2312" w:hAnsi="仿宋" w:hint="eastAsia"/>
          <w:color w:val="000000"/>
          <w:sz w:val="30"/>
          <w:szCs w:val="30"/>
        </w:rPr>
        <w:t>事会会议的召开符合《中华人民共和国公司法》等法律、行政法规、部门规章、规范性文件以及《公司章程》的有关规定。</w:t>
      </w:r>
    </w:p>
    <w:p w14:paraId="2A71DDF6" w14:textId="77777777" w:rsidR="006740E1" w:rsidRDefault="00864A4F" w:rsidP="00D64D5A">
      <w:pPr>
        <w:autoSpaceDE w:val="0"/>
        <w:autoSpaceDN w:val="0"/>
        <w:adjustRightInd w:val="0"/>
        <w:spacing w:line="560" w:lineRule="exact"/>
        <w:ind w:firstLineChars="192" w:firstLine="578"/>
        <w:jc w:val="left"/>
        <w:rPr>
          <w:rFonts w:ascii="黑体" w:eastAsia="黑体" w:hAnsi="黑体" w:cs="宋体-WinCharSetFFFF-H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-WinCharSetFFFF-H" w:hint="eastAsia"/>
          <w:b/>
          <w:color w:val="000000"/>
          <w:kern w:val="0"/>
          <w:sz w:val="30"/>
          <w:szCs w:val="30"/>
        </w:rPr>
        <w:t>二、监事会会议审议情况</w:t>
      </w:r>
    </w:p>
    <w:p w14:paraId="2A8FA491" w14:textId="3163F4FC" w:rsidR="000842E5" w:rsidRDefault="00864A4F" w:rsidP="005C7F0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（一）</w:t>
      </w:r>
      <w:r w:rsidR="000842E5">
        <w:rPr>
          <w:rFonts w:ascii="仿宋" w:eastAsia="仿宋_GB2312" w:hAnsi="仿宋" w:hint="eastAsia"/>
          <w:color w:val="000000"/>
          <w:sz w:val="30"/>
          <w:szCs w:val="30"/>
        </w:rPr>
        <w:t>审议通过《</w:t>
      </w:r>
      <w:r w:rsidR="000842E5" w:rsidRPr="000842E5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="000842E5" w:rsidRPr="000842E5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0842E5" w:rsidRPr="000842E5">
        <w:rPr>
          <w:rFonts w:ascii="仿宋" w:eastAsia="仿宋_GB2312" w:hAnsi="仿宋" w:hint="eastAsia"/>
          <w:color w:val="000000"/>
          <w:sz w:val="30"/>
          <w:szCs w:val="30"/>
        </w:rPr>
        <w:t>年度监事会工作报告</w:t>
      </w:r>
      <w:r w:rsidR="000842E5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5488D92" w14:textId="197EA514" w:rsidR="00B94247" w:rsidRDefault="000842E5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3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</w:t>
      </w:r>
      <w:r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360585E4" w14:textId="057AA0D4" w:rsidR="000842E5" w:rsidRDefault="000842E5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E5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4C788C81" w14:textId="5BC64D00" w:rsidR="000842E5" w:rsidRDefault="000842E5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（二）审议通过《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年年度报告及摘要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09CF6DF0" w14:textId="4E63B53F" w:rsidR="005C7F06" w:rsidRDefault="000842E5" w:rsidP="005C7F0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年年度报告及其摘要的编制和审核程序符合法律、</w:t>
      </w:r>
      <w:r>
        <w:rPr>
          <w:rFonts w:ascii="仿宋" w:eastAsia="仿宋_GB2312" w:hAnsi="仿宋" w:hint="eastAsia"/>
          <w:color w:val="000000"/>
          <w:sz w:val="30"/>
          <w:szCs w:val="30"/>
        </w:rPr>
        <w:t>行政法规以及中国证监会和上海证券交易所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的规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定，报告的内容真实、准确、完整地反映公司的实际情况，不存在任何虚假记载、误导性陈述或者重大遗漏。</w:t>
      </w:r>
    </w:p>
    <w:p w14:paraId="422BA873" w14:textId="46AB1C63" w:rsidR="000842E5" w:rsidRDefault="000842E5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具体内容详见公司同日披露的《倍加洁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年年度报告》及《倍加洁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年年度报告摘要》。</w:t>
      </w:r>
    </w:p>
    <w:p w14:paraId="2D6CC986" w14:textId="64D24ED9" w:rsidR="000842E5" w:rsidRDefault="000842E5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0842E5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0842E5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7327D0B1" w14:textId="36C56046" w:rsidR="000842E5" w:rsidRDefault="000842E5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4D0B1B9F" w14:textId="3A87E5CA" w:rsidR="000842E5" w:rsidRDefault="000842E5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（三）审议通过《</w:t>
      </w:r>
      <w:r w:rsidR="003E70C2" w:rsidRPr="003E70C2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="003E70C2" w:rsidRPr="003E70C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3E70C2" w:rsidRPr="003E70C2">
        <w:rPr>
          <w:rFonts w:ascii="仿宋" w:eastAsia="仿宋_GB2312" w:hAnsi="仿宋" w:hint="eastAsia"/>
          <w:color w:val="000000"/>
          <w:sz w:val="30"/>
          <w:szCs w:val="30"/>
        </w:rPr>
        <w:t>年度拟不进行利润分配暨关于提请股东会授权董事会制定</w:t>
      </w:r>
      <w:r w:rsidR="003E70C2" w:rsidRPr="003E70C2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3E70C2" w:rsidRPr="003E70C2">
        <w:rPr>
          <w:rFonts w:ascii="仿宋" w:eastAsia="仿宋_GB2312" w:hAnsi="仿宋" w:hint="eastAsia"/>
          <w:color w:val="000000"/>
          <w:sz w:val="30"/>
          <w:szCs w:val="30"/>
        </w:rPr>
        <w:t>年中期分红方案的议案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2CB66A4B" w14:textId="6ACD92BF" w:rsidR="000842E5" w:rsidRDefault="003E70C2" w:rsidP="000842E5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年度合并报表实现净利润为负，根据《公司章程》有关规定，并结合公司战略发展规划及未来资金需求等因素，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年度公司不派发现金红利、不送红股、不以资本公积转增股本，符合相关要求。此外，在公司当期盈利、累计未分配利润为正，公司现金流可以满足正常经营和持续发展的要求的条件下进行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年度中期分红，符合公司的经营现状，有利于公司的持续、稳定、健康发展。因此，同意公司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年度利润分配方案及</w:t>
      </w:r>
      <w:r w:rsidR="00A548AE">
        <w:rPr>
          <w:rFonts w:ascii="仿宋" w:eastAsia="仿宋_GB2312" w:hAnsi="仿宋" w:hint="eastAsia"/>
          <w:color w:val="000000"/>
          <w:sz w:val="30"/>
          <w:szCs w:val="30"/>
        </w:rPr>
        <w:t>2</w:t>
      </w:r>
      <w:r w:rsidR="00A548AE">
        <w:rPr>
          <w:rFonts w:ascii="仿宋" w:eastAsia="仿宋_GB2312" w:hAnsi="仿宋"/>
          <w:color w:val="000000"/>
          <w:sz w:val="30"/>
          <w:szCs w:val="30"/>
        </w:rPr>
        <w:t>025</w:t>
      </w:r>
      <w:r w:rsidR="00A548AE">
        <w:rPr>
          <w:rFonts w:ascii="仿宋" w:eastAsia="仿宋_GB2312" w:hAnsi="仿宋" w:hint="eastAsia"/>
          <w:color w:val="000000"/>
          <w:sz w:val="30"/>
          <w:szCs w:val="30"/>
        </w:rPr>
        <w:t>年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中期分红安排，并同意将议案提交公司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A548AE" w:rsidRPr="00A548AE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1D54BC22" w14:textId="7B0D0761" w:rsidR="003E70C2" w:rsidRP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年度拟不进行利润分配暨关于提请股东会授权董事会制定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年中期分红方案的公告》（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014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56C2234A" w14:textId="2B447FC6" w:rsidR="003E70C2" w:rsidRP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1608ABE7" w14:textId="41F0D910" w:rsid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4FC424FC" w14:textId="6A037D02" w:rsid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（四）审议通过《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关于续聘公司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年度审计机构、内部控制审计机构的议案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3AC8E921" w14:textId="0B428AA7" w:rsid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同意续聘立信会计师事务所（特殊普通合伙）为公司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>
        <w:rPr>
          <w:rFonts w:ascii="仿宋" w:eastAsia="仿宋_GB2312" w:hAnsi="仿宋" w:hint="eastAsia"/>
          <w:color w:val="000000"/>
          <w:sz w:val="30"/>
          <w:szCs w:val="30"/>
        </w:rPr>
        <w:t>年度审计机构、内部控制审计机构。</w:t>
      </w:r>
    </w:p>
    <w:p w14:paraId="74FE690C" w14:textId="56CA166D" w:rsidR="003E70C2" w:rsidRPr="003E70C2" w:rsidRDefault="003E70C2" w:rsidP="003E70C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具体内容详见公司同日披露的《关于续聘公司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E70C2">
        <w:rPr>
          <w:rFonts w:ascii="仿宋" w:eastAsia="仿宋_GB2312" w:hAnsi="仿宋" w:hint="eastAsia"/>
          <w:color w:val="000000"/>
          <w:sz w:val="30"/>
          <w:szCs w:val="30"/>
        </w:rPr>
        <w:t>年度审计机构、内部控制审计机构的公告》（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015</w:t>
      </w:r>
      <w:r>
        <w:rPr>
          <w:rFonts w:ascii="仿宋" w:eastAsia="仿宋_GB2312" w:hAnsi="仿宋" w:hint="eastAsia"/>
          <w:color w:val="000000"/>
          <w:sz w:val="30"/>
          <w:szCs w:val="30"/>
        </w:rPr>
        <w:t>）</w:t>
      </w:r>
      <w:r w:rsidR="00A978D1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4EF05C2D" w14:textId="182F962B" w:rsidR="000842E5" w:rsidRDefault="00A978D1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A978D1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74A0A8F0" w14:textId="073F20C3" w:rsidR="00A978D1" w:rsidRDefault="00A978D1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A978D1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5153A95D" w14:textId="6E48E659" w:rsidR="00A978D1" w:rsidRDefault="00A978D1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（五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）审议通过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年度公司及控股子公司申请授信额度并提供担保的议案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7031A67F" w14:textId="6B1AE87F" w:rsidR="00A978D1" w:rsidRDefault="00A978D1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本次公司及控股子公司申请综合授信额度并提供担保事项</w:t>
      </w:r>
      <w:r>
        <w:rPr>
          <w:rFonts w:ascii="仿宋" w:eastAsia="仿宋_GB2312" w:hAnsi="仿宋" w:hint="eastAsia"/>
          <w:color w:val="000000"/>
          <w:sz w:val="30"/>
          <w:szCs w:val="30"/>
        </w:rPr>
        <w:t>是为满足经营发展的资金需求，符合公司实际经营情况和整体发展战略。</w:t>
      </w:r>
      <w:r w:rsidR="00AC761F">
        <w:rPr>
          <w:rFonts w:ascii="仿宋" w:eastAsia="仿宋_GB2312" w:hAnsi="仿宋" w:hint="eastAsia"/>
          <w:color w:val="000000"/>
          <w:sz w:val="30"/>
          <w:szCs w:val="30"/>
        </w:rPr>
        <w:t>担保对象为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公司并表范围内的控股子公司，能够有效控制和防范担保风险。决策和审批程序符合相关法律法规及《公司章程》的规定，不存在损害公司及股东特别是中小股东利益的情形。因此，全体监事同意本次公司及控股子公司申请综合授信</w:t>
      </w:r>
      <w:r w:rsidR="004E60E2">
        <w:rPr>
          <w:rFonts w:ascii="仿宋" w:eastAsia="仿宋_GB2312" w:hAnsi="仿宋" w:hint="eastAsia"/>
          <w:color w:val="000000"/>
          <w:sz w:val="30"/>
          <w:szCs w:val="30"/>
        </w:rPr>
        <w:t>额度并提供担保事项，并同意将此议案提交股东</w:t>
      </w:r>
      <w:r w:rsidRPr="00A978D1">
        <w:rPr>
          <w:rFonts w:ascii="仿宋" w:eastAsia="仿宋_GB2312" w:hAnsi="仿宋" w:hint="eastAsia"/>
          <w:color w:val="000000"/>
          <w:sz w:val="30"/>
          <w:szCs w:val="30"/>
        </w:rPr>
        <w:t>会审议批准。</w:t>
      </w:r>
    </w:p>
    <w:p w14:paraId="196BED43" w14:textId="237C9483" w:rsidR="004E60E2" w:rsidRP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年度公司及控股子公司申请授信额度并提供担保的公告》（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016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）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5C79EB32" w14:textId="11752F65" w:rsidR="004E60E2" w:rsidRP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60E2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79202B2" w14:textId="41691174" w:rsid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60E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76CF774A" w14:textId="144A1790" w:rsid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（六）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关于开展外汇套期保值业务的议案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30256E8B" w14:textId="3CC1315D" w:rsid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监事会认为：公司及控股子公司开展外汇套期保值业务，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根据公司经营</w:t>
      </w:r>
      <w:r>
        <w:rPr>
          <w:rFonts w:ascii="仿宋" w:eastAsia="仿宋_GB2312" w:hAnsi="仿宋" w:hint="eastAsia"/>
          <w:color w:val="000000"/>
          <w:sz w:val="30"/>
          <w:szCs w:val="30"/>
        </w:rPr>
        <w:t>实际情况以套期保值为手段，以防范并降低汇率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波动风险为目的，降低汇率大幅波动可能对公司经营业绩带来的影响，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提高外汇资金使用效率，不存在损害</w:t>
      </w:r>
      <w:r>
        <w:rPr>
          <w:rFonts w:ascii="仿宋" w:eastAsia="仿宋_GB2312" w:hAnsi="仿宋" w:hint="eastAsia"/>
          <w:color w:val="000000"/>
          <w:sz w:val="30"/>
          <w:szCs w:val="30"/>
        </w:rPr>
        <w:t>公司及全体股东，特别是中小股东利益的情形。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公司监事会同意公司开展外汇套期保值业务。</w:t>
      </w:r>
    </w:p>
    <w:p w14:paraId="3C35AB68" w14:textId="636AD351" w:rsidR="004E60E2" w:rsidRP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具体内容详见公司同日披露的《关于开展外汇套期保值业务的公告》（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019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71FD94C3" w14:textId="7210EA66" w:rsidR="004E60E2" w:rsidRP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60E2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5A8F8A09" w14:textId="2840F0D5" w:rsidR="004E60E2" w:rsidRPr="004E60E2" w:rsidRDefault="004E60E2" w:rsidP="004E60E2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E60E2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4E60E2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E6BF38A" w14:textId="15AF4CDE" w:rsidR="00A978D1" w:rsidRDefault="004E60E2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（七）审议通过《</w:t>
      </w:r>
      <w:r w:rsidR="00FE45F6" w:rsidRPr="00FE45F6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="00FE45F6" w:rsidRPr="00FE45F6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FE45F6" w:rsidRPr="00FE45F6">
        <w:rPr>
          <w:rFonts w:ascii="仿宋" w:eastAsia="仿宋_GB2312" w:hAnsi="仿宋" w:hint="eastAsia"/>
          <w:color w:val="000000"/>
          <w:sz w:val="30"/>
          <w:szCs w:val="30"/>
        </w:rPr>
        <w:t>年度内部控制评价报告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01249EC5" w14:textId="215BBBAB" w:rsidR="00FE45F6" w:rsidRDefault="00C31CF7" w:rsidP="00FE45F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="00FE45F6">
        <w:rPr>
          <w:rFonts w:ascii="仿宋" w:eastAsia="仿宋_GB2312" w:hAnsi="仿宋" w:hint="eastAsia"/>
          <w:color w:val="000000"/>
          <w:sz w:val="30"/>
          <w:szCs w:val="30"/>
        </w:rPr>
        <w:t>公司根据中国证监会、上海证券交易所的有关规定，</w:t>
      </w:r>
      <w:r w:rsidR="00FE45F6" w:rsidRPr="00FE45F6">
        <w:rPr>
          <w:rFonts w:ascii="仿宋" w:eastAsia="仿宋_GB2312" w:hAnsi="仿宋" w:hint="eastAsia"/>
          <w:color w:val="000000"/>
          <w:sz w:val="30"/>
          <w:szCs w:val="30"/>
        </w:rPr>
        <w:t>遵循内部控制的基本原则，按照自身的实际情况，建立健全了内部控制制度，保证了公司业务活动的正常进行，在公司经营管理的各个关键环节起到了较好的控制和防范作用。《</w:t>
      </w:r>
      <w:r w:rsidR="00FE45F6">
        <w:rPr>
          <w:rFonts w:ascii="仿宋" w:eastAsia="仿宋_GB2312" w:hAnsi="仿宋" w:hint="eastAsia"/>
          <w:color w:val="000000"/>
          <w:sz w:val="30"/>
          <w:szCs w:val="30"/>
        </w:rPr>
        <w:t>倍加洁</w:t>
      </w:r>
      <w:r w:rsidR="00FE45F6">
        <w:rPr>
          <w:rFonts w:ascii="仿宋" w:eastAsia="仿宋_GB2312" w:hAnsi="仿宋" w:hint="eastAsia"/>
          <w:color w:val="000000"/>
          <w:sz w:val="30"/>
          <w:szCs w:val="30"/>
        </w:rPr>
        <w:t>202</w:t>
      </w:r>
      <w:r w:rsidR="00FE45F6">
        <w:rPr>
          <w:rFonts w:ascii="仿宋" w:eastAsia="仿宋_GB2312" w:hAnsi="仿宋"/>
          <w:color w:val="000000"/>
          <w:sz w:val="30"/>
          <w:szCs w:val="30"/>
        </w:rPr>
        <w:t>4</w:t>
      </w:r>
      <w:r w:rsidR="00FE45F6" w:rsidRPr="00FE45F6">
        <w:rPr>
          <w:rFonts w:ascii="仿宋" w:eastAsia="仿宋_GB2312" w:hAnsi="仿宋" w:hint="eastAsia"/>
          <w:color w:val="000000"/>
          <w:sz w:val="30"/>
          <w:szCs w:val="30"/>
        </w:rPr>
        <w:t>年度内部控制评价报告》全面、真实、准确地反映了公司内部控制实际情况。</w:t>
      </w:r>
    </w:p>
    <w:p w14:paraId="66CD552F" w14:textId="77777777" w:rsidR="00FE45F6" w:rsidRPr="00FE45F6" w:rsidRDefault="00FE45F6" w:rsidP="00FE45F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FE45F6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具体内容详见公司同日披露的《倍加洁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年度内部控制评价报告》。</w:t>
      </w:r>
    </w:p>
    <w:p w14:paraId="76991F31" w14:textId="6F0F38BF" w:rsidR="00FE45F6" w:rsidRDefault="00FE45F6" w:rsidP="00FE45F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FE45F6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FE45F6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600DE57" w14:textId="791947C6" w:rsidR="00FE45F6" w:rsidRDefault="00FE45F6" w:rsidP="00FE45F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（八）</w:t>
      </w:r>
      <w:r w:rsidR="00C31CF7">
        <w:rPr>
          <w:rFonts w:ascii="仿宋" w:eastAsia="仿宋_GB2312" w:hAnsi="仿宋" w:hint="eastAsia"/>
          <w:color w:val="000000"/>
          <w:sz w:val="30"/>
          <w:szCs w:val="30"/>
        </w:rPr>
        <w:t>审议通过《</w:t>
      </w:r>
      <w:r w:rsidR="00C31CF7" w:rsidRPr="00C31CF7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="00C31CF7" w:rsidRPr="00C31CF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="00C31CF7" w:rsidRPr="00C31CF7">
        <w:rPr>
          <w:rFonts w:ascii="仿宋" w:eastAsia="仿宋_GB2312" w:hAnsi="仿宋" w:hint="eastAsia"/>
          <w:color w:val="000000"/>
          <w:sz w:val="30"/>
          <w:szCs w:val="30"/>
        </w:rPr>
        <w:t>年日常关联交易确认及</w:t>
      </w:r>
      <w:r w:rsidR="00C31CF7" w:rsidRPr="00C31CF7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="00C31CF7" w:rsidRPr="00C31CF7">
        <w:rPr>
          <w:rFonts w:ascii="仿宋" w:eastAsia="仿宋_GB2312" w:hAnsi="仿宋" w:hint="eastAsia"/>
          <w:color w:val="000000"/>
          <w:sz w:val="30"/>
          <w:szCs w:val="30"/>
        </w:rPr>
        <w:t>年日常关联交易预计的议案</w:t>
      </w:r>
      <w:r w:rsidR="00C31CF7"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59E36333" w14:textId="390BF0FD" w:rsidR="00C31CF7" w:rsidRDefault="00C31CF7" w:rsidP="00FE45F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年已发生的日常关联</w:t>
      </w:r>
      <w:r>
        <w:rPr>
          <w:rFonts w:ascii="仿宋" w:eastAsia="仿宋_GB2312" w:hAnsi="仿宋" w:hint="eastAsia"/>
          <w:color w:val="000000"/>
          <w:sz w:val="30"/>
          <w:szCs w:val="30"/>
        </w:rPr>
        <w:t>交易事项公平、合理，不存在损害公司和其他非关联方股东利益的情形。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年度预计的日常关联交易符合公司日常生产经营实际情况，公司与关联方的关联交易行为遵循市场公允原则，关联交易不会影响公司独立性，不会影响公司经营成果的真实性，未损害公司和股东利益。监事会同意公司本次日常关联交易额度预计事项。</w:t>
      </w:r>
    </w:p>
    <w:p w14:paraId="693A8FB1" w14:textId="05EEE6BD" w:rsidR="00C31CF7" w:rsidRPr="00C31CF7" w:rsidRDefault="00C31CF7" w:rsidP="00C31CF7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C31CF7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具体内容详见公司同日披露的《关于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年日常关联交易确认及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年日常关联交易预计的公告》（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017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）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1A28FCAB" w14:textId="49912515" w:rsidR="00C31CF7" w:rsidRDefault="00C31CF7" w:rsidP="00C31CF7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C31CF7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票</w:t>
      </w:r>
      <w:r>
        <w:rPr>
          <w:rFonts w:ascii="仿宋" w:eastAsia="仿宋_GB2312" w:hAnsi="仿宋" w:hint="eastAsia"/>
          <w:color w:val="000000"/>
          <w:sz w:val="30"/>
          <w:szCs w:val="30"/>
        </w:rPr>
        <w:t>。</w:t>
      </w:r>
    </w:p>
    <w:p w14:paraId="604871BD" w14:textId="0A0A5B03" w:rsidR="00C31CF7" w:rsidRDefault="00C31CF7" w:rsidP="00C31CF7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C31CF7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4A52400E" w14:textId="7BEAA3A7" w:rsidR="00C31CF7" w:rsidRPr="00C31CF7" w:rsidRDefault="00C31CF7" w:rsidP="00C31CF7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（九</w:t>
      </w:r>
      <w:r w:rsidRPr="00C31CF7">
        <w:rPr>
          <w:rFonts w:ascii="仿宋" w:eastAsia="仿宋_GB2312" w:hAnsi="仿宋" w:hint="eastAsia"/>
          <w:color w:val="000000"/>
          <w:sz w:val="30"/>
          <w:szCs w:val="30"/>
        </w:rPr>
        <w:t>）审议通过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="00B10D04" w:rsidRPr="00B10D04">
        <w:rPr>
          <w:rFonts w:ascii="仿宋" w:eastAsia="仿宋_GB2312" w:hAnsi="仿宋" w:hint="eastAsia"/>
          <w:color w:val="000000"/>
          <w:sz w:val="30"/>
          <w:szCs w:val="30"/>
        </w:rPr>
        <w:t>关于使用闲置自有资金进行委托理财的议案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34829288" w14:textId="686CC6EC" w:rsidR="00C31CF7" w:rsidRDefault="003F39C4" w:rsidP="00FE45F6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监事会认为：在符合国家法律法规，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确保不影响</w:t>
      </w:r>
      <w:r>
        <w:rPr>
          <w:rFonts w:ascii="仿宋" w:eastAsia="仿宋_GB2312" w:hAnsi="仿宋" w:hint="eastAsia"/>
          <w:color w:val="000000"/>
          <w:sz w:val="30"/>
          <w:szCs w:val="30"/>
        </w:rPr>
        <w:t>公司正常运营和资金安全的前提下，公司使用闲置自有资金进行委托理财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，可以提高自有资金的使用效率，获得一定的投资收益，为公司股东谋取更多的投资回报。同意公司及控股子公司使用最高不超过人民币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5</w:t>
      </w:r>
      <w:r>
        <w:rPr>
          <w:rFonts w:ascii="仿宋" w:eastAsia="仿宋_GB2312" w:hAnsi="仿宋" w:hint="eastAsia"/>
          <w:color w:val="000000"/>
          <w:sz w:val="30"/>
          <w:szCs w:val="30"/>
        </w:rPr>
        <w:t>亿元的闲置自有资金进行委托理财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。</w:t>
      </w:r>
      <w:bookmarkStart w:id="0" w:name="_GoBack"/>
      <w:bookmarkEnd w:id="0"/>
    </w:p>
    <w:p w14:paraId="401964D6" w14:textId="709D8639" w:rsidR="003F39C4" w:rsidRP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具体内容详见公司同日披露的《关于使用闲置自有资金进行委托理财的公告》（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018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293E456D" w14:textId="6A28CEC9" w:rsid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F39C4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3A91DDEB" w14:textId="56C8C16F" w:rsidR="00422487" w:rsidRPr="003F39C4" w:rsidRDefault="00422487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422487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4E2BA48C" w14:textId="77777777" w:rsidR="003F39C4" w:rsidRP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（十）审议通过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《倍加洁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年第一季度报告》</w:t>
      </w:r>
    </w:p>
    <w:p w14:paraId="3A0F6D08" w14:textId="6BDEF810" w:rsid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年第一季度报告的编制和审核程序符合法律、法规</w:t>
      </w:r>
      <w:r>
        <w:rPr>
          <w:rFonts w:ascii="仿宋" w:eastAsia="仿宋_GB2312" w:hAnsi="仿宋" w:hint="eastAsia"/>
          <w:color w:val="000000"/>
          <w:sz w:val="30"/>
          <w:szCs w:val="30"/>
        </w:rPr>
        <w:t>以及中国证监会和上海证券交易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所的规定，报告的内容真实、准确、完整地反映公司的实际情况，不存在任何虚假记载、误导性陈述或者重</w:t>
      </w:r>
      <w:r>
        <w:rPr>
          <w:rFonts w:ascii="仿宋" w:eastAsia="仿宋_GB2312" w:hAnsi="仿宋" w:hint="eastAsia"/>
          <w:color w:val="000000"/>
          <w:sz w:val="30"/>
          <w:szCs w:val="30"/>
        </w:rPr>
        <w:t>大遗漏。</w:t>
      </w:r>
    </w:p>
    <w:p w14:paraId="7B546852" w14:textId="1C7B1CE0" w:rsidR="003F39C4" w:rsidRP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具体内容详见公司同日披露的《倍加洁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年第一季度报告》。</w:t>
      </w:r>
    </w:p>
    <w:p w14:paraId="4EECDBFC" w14:textId="61198221" w:rsid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3F39C4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AA227EC" w14:textId="46B45C4B" w:rsidR="003F39C4" w:rsidRDefault="003F39C4" w:rsidP="003F39C4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（十一）审议《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关于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年监事薪酬的确认及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2025</w:t>
      </w:r>
      <w:r w:rsidRPr="003F39C4">
        <w:rPr>
          <w:rFonts w:ascii="仿宋" w:eastAsia="仿宋_GB2312" w:hAnsi="仿宋" w:hint="eastAsia"/>
          <w:color w:val="000000"/>
          <w:sz w:val="30"/>
          <w:szCs w:val="30"/>
        </w:rPr>
        <w:t>年薪酬方案的议案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241E9CBD" w14:textId="77777777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表决情况：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同意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票，回避</w:t>
      </w:r>
      <w:r>
        <w:rPr>
          <w:rFonts w:ascii="仿宋" w:eastAsia="仿宋_GB2312" w:hAnsi="仿宋" w:hint="eastAsia"/>
          <w:color w:val="000000"/>
          <w:sz w:val="30"/>
          <w:szCs w:val="30"/>
        </w:rPr>
        <w:t>3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票。监事徐玲女士、蔡</w:t>
      </w:r>
      <w:r>
        <w:rPr>
          <w:rFonts w:ascii="仿宋" w:eastAsia="仿宋_GB2312" w:hAnsi="仿宋" w:hint="eastAsia"/>
          <w:color w:val="000000"/>
          <w:sz w:val="30"/>
          <w:szCs w:val="30"/>
        </w:rPr>
        <w:t>君鑫先生、吴娟女士回避表决。</w:t>
      </w:r>
    </w:p>
    <w:p w14:paraId="4967246C" w14:textId="77777777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本议案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提交</w:t>
      </w:r>
      <w:r>
        <w:rPr>
          <w:rFonts w:ascii="仿宋" w:eastAsia="仿宋_GB2312" w:hAnsi="仿宋" w:hint="eastAsia"/>
          <w:color w:val="000000"/>
          <w:sz w:val="30"/>
          <w:szCs w:val="30"/>
        </w:rPr>
        <w:t>公司</w:t>
      </w:r>
      <w:r>
        <w:rPr>
          <w:rFonts w:ascii="仿宋" w:eastAsia="仿宋_GB2312" w:hAnsi="仿宋" w:hint="eastAsia"/>
          <w:color w:val="000000"/>
          <w:sz w:val="30"/>
          <w:szCs w:val="30"/>
        </w:rPr>
        <w:t>202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>
        <w:rPr>
          <w:rFonts w:ascii="仿宋" w:eastAsia="仿宋_GB2312" w:hAnsi="仿宋" w:hint="eastAsia"/>
          <w:color w:val="000000"/>
          <w:sz w:val="30"/>
          <w:szCs w:val="30"/>
        </w:rPr>
        <w:t>年年度股东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会审议。</w:t>
      </w:r>
    </w:p>
    <w:p w14:paraId="10458377" w14:textId="2BB66970" w:rsidR="003F39C4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（十二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）审议</w:t>
      </w:r>
      <w:r>
        <w:rPr>
          <w:rFonts w:ascii="仿宋" w:eastAsia="仿宋_GB2312" w:hAnsi="仿宋" w:hint="eastAsia"/>
          <w:color w:val="000000"/>
          <w:sz w:val="30"/>
          <w:szCs w:val="30"/>
        </w:rPr>
        <w:t>通过《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关于计提资产减值准备的议案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1689888D" w14:textId="4A5A8C67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公</w:t>
      </w:r>
      <w:r>
        <w:rPr>
          <w:rFonts w:ascii="仿宋" w:eastAsia="仿宋_GB2312" w:hAnsi="仿宋" w:hint="eastAsia"/>
          <w:color w:val="000000"/>
          <w:sz w:val="30"/>
          <w:szCs w:val="30"/>
        </w:rPr>
        <w:t>司本次计提资产减值准备符合《企业会计准则》和公司相关制度的规定，保证了公司所编制的财务报表符合企业会计准则的要求，真实、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完整地反映报告期资产的价值，更公允地反映公司财务状况以及经营成果，符合公司实际情况，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 xml:space="preserve"> 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同意本次计提资产减值准备。</w:t>
      </w:r>
    </w:p>
    <w:p w14:paraId="2CB4CB0D" w14:textId="22BF065B" w:rsidR="002C5E5F" w:rsidRP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具体内容详见公司同日披露的《关于计提资产减值准备的公告》（</w:t>
      </w:r>
      <w:r w:rsidRPr="00422487">
        <w:rPr>
          <w:rFonts w:ascii="仿宋" w:eastAsia="仿宋_GB2312" w:hAnsi="仿宋" w:hint="eastAsia"/>
          <w:color w:val="000000"/>
          <w:sz w:val="30"/>
          <w:szCs w:val="30"/>
        </w:rPr>
        <w:t>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021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0EC92AE1" w14:textId="4CACF59F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C5E5F">
        <w:rPr>
          <w:rFonts w:ascii="仿宋" w:eastAsia="仿宋_GB2312" w:hAnsi="仿宋" w:hint="eastAsia"/>
          <w:color w:val="000000"/>
          <w:sz w:val="30"/>
          <w:szCs w:val="30"/>
        </w:rPr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2257A4DD" w14:textId="0A192E31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C5E5F">
        <w:rPr>
          <w:rFonts w:ascii="仿宋" w:eastAsia="仿宋_GB2312" w:hAnsi="仿宋" w:hint="eastAsia"/>
          <w:color w:val="000000"/>
          <w:sz w:val="30"/>
          <w:szCs w:val="30"/>
        </w:rPr>
        <w:t>本议案尚需提交公司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2024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年年度股东会审议。</w:t>
      </w:r>
    </w:p>
    <w:p w14:paraId="030DC481" w14:textId="08051C29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（十三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）审议通过</w:t>
      </w:r>
      <w:r>
        <w:rPr>
          <w:rFonts w:ascii="仿宋" w:eastAsia="仿宋_GB2312" w:hAnsi="仿宋" w:hint="eastAsia"/>
          <w:color w:val="000000"/>
          <w:sz w:val="30"/>
          <w:szCs w:val="30"/>
        </w:rPr>
        <w:t>《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关于调整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2021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年股票期权激励计划行权价格、注销部分股票期权的议案</w:t>
      </w:r>
      <w:r>
        <w:rPr>
          <w:rFonts w:ascii="仿宋" w:eastAsia="仿宋_GB2312" w:hAnsi="仿宋" w:hint="eastAsia"/>
          <w:color w:val="000000"/>
          <w:sz w:val="30"/>
          <w:szCs w:val="30"/>
        </w:rPr>
        <w:t>》</w:t>
      </w:r>
    </w:p>
    <w:p w14:paraId="17065BBA" w14:textId="2406993F" w:rsid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监事会认为：本次调整股票期权的行权价格、注销部分股票期权事项符合《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上市公司股权激励管理办法</w:t>
      </w:r>
      <w:r>
        <w:rPr>
          <w:rFonts w:ascii="仿宋" w:eastAsia="仿宋_GB2312" w:hAnsi="仿宋" w:hint="eastAsia"/>
          <w:color w:val="000000"/>
          <w:sz w:val="30"/>
          <w:szCs w:val="30"/>
        </w:rPr>
        <w:t>》等相关法律、法规及《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倍加洁集团股份有限公司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2021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年股票期权激励计划（草案修订稿）》的有关规定，不存在损害公司及全体股东利益的情形。</w:t>
      </w:r>
    </w:p>
    <w:p w14:paraId="33D1214F" w14:textId="67E340B3" w:rsidR="002C5E5F" w:rsidRP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具体内容详见公司同日披露的《关于调整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2021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年股票期权激励计划行权价格、注销部分股票期权的公告》（公告编号：</w:t>
      </w:r>
      <w:r w:rsidR="00422487" w:rsidRPr="00422487">
        <w:rPr>
          <w:rFonts w:ascii="仿宋" w:eastAsia="仿宋_GB2312" w:hAnsi="仿宋" w:hint="eastAsia"/>
          <w:color w:val="000000"/>
          <w:sz w:val="30"/>
          <w:szCs w:val="30"/>
        </w:rPr>
        <w:t>2025-</w:t>
      </w:r>
      <w:r w:rsidR="00422487" w:rsidRPr="00422487">
        <w:rPr>
          <w:rFonts w:ascii="仿宋" w:eastAsia="仿宋_GB2312" w:hAnsi="仿宋"/>
          <w:color w:val="000000"/>
          <w:sz w:val="30"/>
          <w:szCs w:val="30"/>
        </w:rPr>
        <w:t>022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）。</w:t>
      </w:r>
    </w:p>
    <w:p w14:paraId="3F88AC2B" w14:textId="52AFF162" w:rsidR="002C5E5F" w:rsidRPr="002C5E5F" w:rsidRDefault="002C5E5F" w:rsidP="002C5E5F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 w:rsidRPr="002C5E5F">
        <w:rPr>
          <w:rFonts w:ascii="仿宋" w:eastAsia="仿宋_GB2312" w:hAnsi="仿宋" w:hint="eastAsia"/>
          <w:color w:val="000000"/>
          <w:sz w:val="30"/>
          <w:szCs w:val="30"/>
        </w:rPr>
        <w:lastRenderedPageBreak/>
        <w:t>表决情况：同意</w:t>
      </w:r>
      <w:r>
        <w:rPr>
          <w:rFonts w:ascii="仿宋" w:eastAsia="仿宋_GB2312" w:hAnsi="仿宋"/>
          <w:color w:val="000000"/>
          <w:sz w:val="30"/>
          <w:szCs w:val="30"/>
        </w:rPr>
        <w:t>3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票，反对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票，弃权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0</w:t>
      </w:r>
      <w:r w:rsidRPr="002C5E5F">
        <w:rPr>
          <w:rFonts w:ascii="仿宋" w:eastAsia="仿宋_GB2312" w:hAnsi="仿宋" w:hint="eastAsia"/>
          <w:color w:val="000000"/>
          <w:sz w:val="30"/>
          <w:szCs w:val="30"/>
        </w:rPr>
        <w:t>票。</w:t>
      </w:r>
    </w:p>
    <w:p w14:paraId="61EEDFF3" w14:textId="77777777" w:rsidR="004E60E2" w:rsidRPr="00A978D1" w:rsidRDefault="004E60E2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</w:p>
    <w:p w14:paraId="139FC5FC" w14:textId="5653509D" w:rsidR="006740E1" w:rsidRDefault="00864A4F" w:rsidP="00D64D5A">
      <w:pPr>
        <w:pStyle w:val="p0"/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特此公告。</w:t>
      </w:r>
    </w:p>
    <w:p w14:paraId="12034FAC" w14:textId="77777777" w:rsidR="00A548AE" w:rsidRDefault="00A548AE" w:rsidP="00D64D5A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color w:val="000000"/>
          <w:sz w:val="30"/>
          <w:szCs w:val="30"/>
        </w:rPr>
      </w:pPr>
    </w:p>
    <w:p w14:paraId="389D3F34" w14:textId="77777777" w:rsidR="00A548AE" w:rsidRDefault="00A548AE" w:rsidP="00D64D5A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 w:hAnsi="宋体"/>
          <w:color w:val="000000"/>
          <w:sz w:val="30"/>
          <w:szCs w:val="30"/>
        </w:rPr>
      </w:pPr>
    </w:p>
    <w:p w14:paraId="52C73627" w14:textId="671F58C4" w:rsidR="006740E1" w:rsidRDefault="009306FE" w:rsidP="00D64D5A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倍加洁集团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股份有限公司监事会</w:t>
      </w:r>
    </w:p>
    <w:p w14:paraId="7F91F330" w14:textId="366B93E4" w:rsidR="006740E1" w:rsidRPr="009306FE" w:rsidRDefault="009306FE" w:rsidP="009306FE">
      <w:pPr>
        <w:pStyle w:val="p0"/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/>
          <w:color w:val="000000"/>
          <w:sz w:val="30"/>
          <w:szCs w:val="30"/>
        </w:rPr>
      </w:pPr>
      <w:r>
        <w:rPr>
          <w:rFonts w:ascii="仿宋" w:eastAsia="仿宋_GB2312" w:hAnsi="仿宋" w:hint="eastAsia"/>
          <w:color w:val="000000"/>
          <w:sz w:val="30"/>
          <w:szCs w:val="30"/>
        </w:rPr>
        <w:t>2</w:t>
      </w:r>
      <w:r>
        <w:rPr>
          <w:rFonts w:ascii="仿宋" w:eastAsia="仿宋_GB2312" w:hAnsi="仿宋"/>
          <w:color w:val="000000"/>
          <w:sz w:val="30"/>
          <w:szCs w:val="30"/>
        </w:rPr>
        <w:t>025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年</w:t>
      </w:r>
      <w:r>
        <w:rPr>
          <w:rFonts w:ascii="仿宋" w:eastAsia="仿宋_GB2312" w:hAnsi="仿宋"/>
          <w:color w:val="000000"/>
          <w:sz w:val="30"/>
          <w:szCs w:val="30"/>
        </w:rPr>
        <w:t>4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_GB2312" w:hAnsi="仿宋"/>
          <w:color w:val="000000"/>
          <w:sz w:val="30"/>
          <w:szCs w:val="30"/>
        </w:rPr>
        <w:t>30</w:t>
      </w:r>
      <w:r w:rsidR="00864A4F">
        <w:rPr>
          <w:rFonts w:ascii="仿宋" w:eastAsia="仿宋_GB2312" w:hAnsi="仿宋" w:hint="eastAsia"/>
          <w:color w:val="000000"/>
          <w:sz w:val="30"/>
          <w:szCs w:val="30"/>
        </w:rPr>
        <w:t>日</w:t>
      </w:r>
    </w:p>
    <w:sectPr w:rsidR="006740E1" w:rsidRPr="009306FE" w:rsidSect="006740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1EEAF" w14:textId="77777777" w:rsidR="005B74AE" w:rsidRDefault="005B74AE" w:rsidP="00D96B6E">
      <w:r>
        <w:separator/>
      </w:r>
    </w:p>
  </w:endnote>
  <w:endnote w:type="continuationSeparator" w:id="0">
    <w:p w14:paraId="486592FD" w14:textId="77777777" w:rsidR="005B74AE" w:rsidRDefault="005B74AE" w:rsidP="00D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方正舒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753028"/>
      <w:docPartObj>
        <w:docPartGallery w:val="Page Numbers (Bottom of Page)"/>
        <w:docPartUnique/>
      </w:docPartObj>
    </w:sdtPr>
    <w:sdtEndPr/>
    <w:sdtContent>
      <w:p w14:paraId="7CD18264" w14:textId="5312D9EB" w:rsidR="00775870" w:rsidRDefault="00775870" w:rsidP="007758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1F" w:rsidRPr="00AC761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B7C0" w14:textId="77777777" w:rsidR="005B74AE" w:rsidRDefault="005B74AE" w:rsidP="00D96B6E">
      <w:r>
        <w:separator/>
      </w:r>
    </w:p>
  </w:footnote>
  <w:footnote w:type="continuationSeparator" w:id="0">
    <w:p w14:paraId="6726B3F9" w14:textId="77777777" w:rsidR="005B74AE" w:rsidRDefault="005B74AE" w:rsidP="00D9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A3495"/>
    <w:multiLevelType w:val="multilevel"/>
    <w:tmpl w:val="627A34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0648DF"/>
    <w:rsid w:val="00030173"/>
    <w:rsid w:val="00047098"/>
    <w:rsid w:val="000842E5"/>
    <w:rsid w:val="000C14F3"/>
    <w:rsid w:val="0015522E"/>
    <w:rsid w:val="00170A13"/>
    <w:rsid w:val="00197F58"/>
    <w:rsid w:val="00263A11"/>
    <w:rsid w:val="00283E8F"/>
    <w:rsid w:val="002C5E5F"/>
    <w:rsid w:val="002D4803"/>
    <w:rsid w:val="002F4FF7"/>
    <w:rsid w:val="00313FED"/>
    <w:rsid w:val="003B6536"/>
    <w:rsid w:val="003E70C2"/>
    <w:rsid w:val="003F39C4"/>
    <w:rsid w:val="00422487"/>
    <w:rsid w:val="0043572E"/>
    <w:rsid w:val="004958CF"/>
    <w:rsid w:val="004B1DC7"/>
    <w:rsid w:val="004E60E2"/>
    <w:rsid w:val="005147FD"/>
    <w:rsid w:val="0056304B"/>
    <w:rsid w:val="005733EA"/>
    <w:rsid w:val="005A4F98"/>
    <w:rsid w:val="005B02C8"/>
    <w:rsid w:val="005B1B2B"/>
    <w:rsid w:val="005B74AE"/>
    <w:rsid w:val="005C7F06"/>
    <w:rsid w:val="005F1166"/>
    <w:rsid w:val="0061149D"/>
    <w:rsid w:val="00671781"/>
    <w:rsid w:val="006740E1"/>
    <w:rsid w:val="00674AB8"/>
    <w:rsid w:val="0068614B"/>
    <w:rsid w:val="006A0816"/>
    <w:rsid w:val="00737E25"/>
    <w:rsid w:val="00743342"/>
    <w:rsid w:val="00756641"/>
    <w:rsid w:val="007675AB"/>
    <w:rsid w:val="00775870"/>
    <w:rsid w:val="007B1BE1"/>
    <w:rsid w:val="00824398"/>
    <w:rsid w:val="00864A4F"/>
    <w:rsid w:val="00887DE9"/>
    <w:rsid w:val="008E2407"/>
    <w:rsid w:val="008E6C4A"/>
    <w:rsid w:val="00915EFD"/>
    <w:rsid w:val="009306FE"/>
    <w:rsid w:val="009354A2"/>
    <w:rsid w:val="009D4BD2"/>
    <w:rsid w:val="00A200F4"/>
    <w:rsid w:val="00A35B35"/>
    <w:rsid w:val="00A548AE"/>
    <w:rsid w:val="00A824D5"/>
    <w:rsid w:val="00A978D1"/>
    <w:rsid w:val="00AC761F"/>
    <w:rsid w:val="00AD3170"/>
    <w:rsid w:val="00AE7D10"/>
    <w:rsid w:val="00AF480D"/>
    <w:rsid w:val="00B10D04"/>
    <w:rsid w:val="00B66502"/>
    <w:rsid w:val="00B94247"/>
    <w:rsid w:val="00B956FA"/>
    <w:rsid w:val="00C31CF7"/>
    <w:rsid w:val="00CE57F8"/>
    <w:rsid w:val="00D132C8"/>
    <w:rsid w:val="00D2703E"/>
    <w:rsid w:val="00D64D5A"/>
    <w:rsid w:val="00D81E6B"/>
    <w:rsid w:val="00D906A5"/>
    <w:rsid w:val="00D91242"/>
    <w:rsid w:val="00D96B6E"/>
    <w:rsid w:val="00DA0330"/>
    <w:rsid w:val="00DA4330"/>
    <w:rsid w:val="00DD59E3"/>
    <w:rsid w:val="00E24394"/>
    <w:rsid w:val="00E93946"/>
    <w:rsid w:val="00EE3298"/>
    <w:rsid w:val="00F04918"/>
    <w:rsid w:val="00F57839"/>
    <w:rsid w:val="00FA1652"/>
    <w:rsid w:val="00FA5172"/>
    <w:rsid w:val="00FD2ADA"/>
    <w:rsid w:val="00FE45F6"/>
    <w:rsid w:val="201072A5"/>
    <w:rsid w:val="250648DF"/>
    <w:rsid w:val="27BD3DBC"/>
    <w:rsid w:val="5C165156"/>
    <w:rsid w:val="6D6E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E68B5"/>
  <w15:docId w15:val="{631294C8-F22A-4D29-9341-5EEAD67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740E1"/>
    <w:pPr>
      <w:jc w:val="left"/>
    </w:pPr>
  </w:style>
  <w:style w:type="paragraph" w:styleId="a5">
    <w:name w:val="Balloon Text"/>
    <w:basedOn w:val="a"/>
    <w:link w:val="a6"/>
    <w:rsid w:val="006740E1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67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67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rsid w:val="006740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paragraph" w:customStyle="1" w:styleId="p0">
    <w:name w:val="p0"/>
    <w:basedOn w:val="a"/>
    <w:qFormat/>
    <w:rsid w:val="006740E1"/>
    <w:pPr>
      <w:widowControl/>
    </w:pPr>
    <w:rPr>
      <w:rFonts w:ascii="Book Antiqua" w:eastAsia="宋体" w:hAnsi="Book Antiqua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qFormat/>
    <w:rsid w:val="006740E1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740E1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6740E1"/>
    <w:rPr>
      <w:kern w:val="2"/>
      <w:sz w:val="18"/>
      <w:szCs w:val="18"/>
    </w:rPr>
  </w:style>
  <w:style w:type="character" w:styleId="ac">
    <w:name w:val="annotation reference"/>
    <w:basedOn w:val="a0"/>
    <w:rsid w:val="006740E1"/>
    <w:rPr>
      <w:sz w:val="21"/>
      <w:szCs w:val="21"/>
    </w:rPr>
  </w:style>
  <w:style w:type="paragraph" w:styleId="ad">
    <w:name w:val="annotation subject"/>
    <w:basedOn w:val="a3"/>
    <w:next w:val="a3"/>
    <w:link w:val="ae"/>
    <w:semiHidden/>
    <w:unhideWhenUsed/>
    <w:rsid w:val="00D2703E"/>
    <w:rPr>
      <w:b/>
      <w:bCs/>
    </w:rPr>
  </w:style>
  <w:style w:type="character" w:customStyle="1" w:styleId="a4">
    <w:name w:val="批注文字 字符"/>
    <w:basedOn w:val="a0"/>
    <w:link w:val="a3"/>
    <w:rsid w:val="00D2703E"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semiHidden/>
    <w:rsid w:val="00D270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孙彬</cp:lastModifiedBy>
  <cp:revision>156</cp:revision>
  <dcterms:created xsi:type="dcterms:W3CDTF">2020-12-09T11:46:00Z</dcterms:created>
  <dcterms:modified xsi:type="dcterms:W3CDTF">2025-04-27T13:02:00Z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