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D249" w14:textId="309222DE"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715062D5" w14:textId="33EC6A75"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0FBCE5B2" w14:textId="5CC49350"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7C543FFF" w14:textId="472814F8"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67B94755" w14:textId="51E248D9"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倍加洁集团股份有限公司</w:t>
      </w:r>
    </w:p>
    <w:p w14:paraId="711192CF" w14:textId="4A39F135"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2BE74836" w14:textId="62C9FDCE"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7A1ABEE5" w14:textId="6F1A4914"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5E728810" w14:textId="6ADABB21"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6449E1B7" w14:textId="45DE6E31"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对外捐赠制度</w:t>
      </w:r>
    </w:p>
    <w:p w14:paraId="01362A91" w14:textId="160BAB36"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58B3E260" w14:textId="08006537"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1237B32B" w14:textId="7DE13755"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4414B95B" w14:textId="6A17AD1A"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29589E81" w14:textId="47C58F75"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011D581F" w14:textId="5DCA3DDB" w:rsidR="004A2A89" w:rsidRDefault="004A2A89" w:rsidP="004A2A89">
      <w:pPr>
        <w:widowControl/>
        <w:shd w:val="clear" w:color="auto" w:fill="FFFFFF"/>
        <w:spacing w:beforeLines="50" w:before="156" w:afterLines="50" w:after="156"/>
        <w:jc w:val="center"/>
        <w:rPr>
          <w:rFonts w:ascii="黑体" w:eastAsia="黑体" w:hAnsi="黑体" w:cs="宋体"/>
          <w:b/>
          <w:color w:val="000000"/>
          <w:kern w:val="0"/>
          <w:sz w:val="44"/>
          <w:szCs w:val="44"/>
        </w:rPr>
      </w:pPr>
    </w:p>
    <w:p w14:paraId="32B3D4ED" w14:textId="5D16BEF0" w:rsidR="004A2A89" w:rsidRPr="004A2A89" w:rsidRDefault="00A400B7" w:rsidP="004A2A89">
      <w:pPr>
        <w:widowControl/>
        <w:shd w:val="clear" w:color="auto" w:fill="FFFFFF"/>
        <w:spacing w:beforeLines="50" w:before="156" w:afterLines="50" w:after="156"/>
        <w:jc w:val="center"/>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二零二五年八月</w:t>
      </w:r>
    </w:p>
    <w:p w14:paraId="2CA3E3D2" w14:textId="77777777" w:rsidR="00A400B7" w:rsidRDefault="004A2A89">
      <w:pPr>
        <w:widowControl/>
        <w:jc w:val="left"/>
        <w:rPr>
          <w:rFonts w:ascii="宋体" w:eastAsia="宋体" w:hAnsi="宋体" w:cs="宋体"/>
          <w:b/>
          <w:color w:val="000000"/>
          <w:kern w:val="0"/>
          <w:sz w:val="32"/>
          <w:szCs w:val="32"/>
        </w:rPr>
        <w:sectPr w:rsidR="00A400B7">
          <w:headerReference w:type="default" r:id="rId6"/>
          <w:footerReference w:type="default" r:id="rId7"/>
          <w:pgSz w:w="11906" w:h="16838"/>
          <w:pgMar w:top="1440" w:right="1800" w:bottom="1440" w:left="1800" w:header="851" w:footer="992" w:gutter="0"/>
          <w:cols w:space="425"/>
          <w:docGrid w:type="lines" w:linePitch="312"/>
        </w:sectPr>
      </w:pPr>
      <w:r>
        <w:rPr>
          <w:rFonts w:ascii="宋体" w:eastAsia="宋体" w:hAnsi="宋体" w:cs="宋体"/>
          <w:b/>
          <w:color w:val="000000"/>
          <w:kern w:val="0"/>
          <w:sz w:val="32"/>
          <w:szCs w:val="32"/>
        </w:rPr>
        <w:br w:type="page"/>
      </w:r>
    </w:p>
    <w:p w14:paraId="2F86CFAC"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lastRenderedPageBreak/>
        <w:t>第一章 总 则</w:t>
      </w:r>
    </w:p>
    <w:p w14:paraId="2043E20D" w14:textId="57464032"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第一条 </w:t>
      </w:r>
      <w:r>
        <w:rPr>
          <w:rFonts w:ascii="宋体" w:eastAsia="宋体" w:hAnsi="宋体" w:cs="宋体" w:hint="eastAsia"/>
          <w:color w:val="000000"/>
          <w:kern w:val="0"/>
          <w:sz w:val="24"/>
          <w:szCs w:val="24"/>
        </w:rPr>
        <w:t>为推动倍加洁集团股份有限公司（以下简称“公司”）积极履行社会责任，规范对外捐赠行为，进一步加强捐赠事项管理，根据《中华人民共和国公益事业捐赠法》、《中华人民共和国公司法》等法律、法规及</w:t>
      </w:r>
      <w:r>
        <w:rPr>
          <w:rFonts w:ascii="宋体" w:hAnsi="宋体" w:cs="宋体" w:hint="eastAsia"/>
          <w:color w:val="000000"/>
          <w:kern w:val="0"/>
          <w:sz w:val="24"/>
        </w:rPr>
        <w:t>《</w:t>
      </w:r>
      <w:r>
        <w:rPr>
          <w:rFonts w:ascii="宋体" w:hAnsi="宋体" w:cs="宋体" w:hint="eastAsia"/>
          <w:color w:val="000000"/>
          <w:sz w:val="24"/>
        </w:rPr>
        <w:t>倍加洁集团股份有限公司</w:t>
      </w:r>
      <w:r>
        <w:rPr>
          <w:rFonts w:ascii="宋体" w:hAnsi="宋体" w:cs="宋体" w:hint="eastAsia"/>
          <w:color w:val="000000"/>
          <w:kern w:val="0"/>
          <w:sz w:val="24"/>
        </w:rPr>
        <w:t>章程》（以下简称“《公司章程》”）</w:t>
      </w:r>
      <w:r>
        <w:rPr>
          <w:rFonts w:ascii="宋体" w:eastAsia="宋体" w:hAnsi="宋体" w:cs="宋体" w:hint="eastAsia"/>
          <w:color w:val="000000"/>
          <w:kern w:val="0"/>
          <w:sz w:val="24"/>
          <w:szCs w:val="24"/>
        </w:rPr>
        <w:t>的相关规定，结合公司实际，特制定本制度。</w:t>
      </w:r>
    </w:p>
    <w:p w14:paraId="45379BF9" w14:textId="3D19AF39" w:rsidR="00B057B8" w:rsidRDefault="00056E56" w:rsidP="00837394">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第二条</w:t>
      </w:r>
      <w:r>
        <w:rPr>
          <w:rFonts w:ascii="宋体" w:eastAsia="宋体" w:hAnsi="宋体" w:cs="宋体" w:hint="eastAsia"/>
          <w:color w:val="000000"/>
          <w:kern w:val="0"/>
          <w:sz w:val="24"/>
          <w:szCs w:val="24"/>
        </w:rPr>
        <w:t xml:space="preserve"> 本制度适用于公司及</w:t>
      </w:r>
      <w:r w:rsidR="00EA37E3">
        <w:rPr>
          <w:rFonts w:ascii="宋体" w:eastAsia="宋体" w:hAnsi="宋体" w:cs="宋体" w:hint="eastAsia"/>
          <w:color w:val="000000"/>
          <w:kern w:val="0"/>
          <w:sz w:val="24"/>
          <w:szCs w:val="24"/>
        </w:rPr>
        <w:t>下属全资、</w:t>
      </w:r>
      <w:r>
        <w:rPr>
          <w:rFonts w:ascii="宋体" w:eastAsia="宋体" w:hAnsi="宋体" w:cs="宋体" w:hint="eastAsia"/>
          <w:color w:val="000000"/>
          <w:kern w:val="0"/>
          <w:sz w:val="24"/>
          <w:szCs w:val="24"/>
        </w:rPr>
        <w:t>控股子公司</w:t>
      </w:r>
      <w:r w:rsidR="00EA37E3">
        <w:rPr>
          <w:rFonts w:ascii="宋体" w:eastAsia="宋体" w:hAnsi="宋体" w:cs="宋体" w:hint="eastAsia"/>
          <w:color w:val="000000"/>
          <w:kern w:val="0"/>
          <w:sz w:val="24"/>
          <w:szCs w:val="24"/>
        </w:rPr>
        <w:t>（以下合称“子公司”）</w:t>
      </w:r>
      <w:r>
        <w:rPr>
          <w:rFonts w:ascii="宋体" w:eastAsia="宋体" w:hAnsi="宋体" w:cs="宋体" w:hint="eastAsia"/>
          <w:color w:val="000000"/>
          <w:kern w:val="0"/>
          <w:sz w:val="24"/>
          <w:szCs w:val="24"/>
        </w:rPr>
        <w:t>。</w:t>
      </w:r>
    </w:p>
    <w:p w14:paraId="594A57ED" w14:textId="1D63EBEF"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第三条 </w:t>
      </w:r>
      <w:r>
        <w:rPr>
          <w:rFonts w:ascii="宋体" w:eastAsia="宋体" w:hAnsi="宋体" w:cs="宋体" w:hint="eastAsia"/>
          <w:color w:val="000000"/>
          <w:kern w:val="0"/>
          <w:sz w:val="24"/>
          <w:szCs w:val="24"/>
        </w:rPr>
        <w:t>本制度所称“对外捐赠”，是指公司及子公司自愿无偿将其有权处分的合法财产赠送给合法的受赠人，用于与生产经营活动没有直接关系的公益事业的行为。</w:t>
      </w:r>
    </w:p>
    <w:p w14:paraId="57749935"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第二章 对外捐赠的原则</w:t>
      </w:r>
    </w:p>
    <w:p w14:paraId="7BD206EC" w14:textId="77777777"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第四条 </w:t>
      </w:r>
      <w:r>
        <w:rPr>
          <w:rFonts w:ascii="宋体" w:eastAsia="宋体" w:hAnsi="宋体" w:cs="宋体" w:hint="eastAsia"/>
          <w:color w:val="000000"/>
          <w:kern w:val="0"/>
          <w:sz w:val="24"/>
          <w:szCs w:val="24"/>
        </w:rPr>
        <w:t>自愿无偿：公司对外捐赠后，不得要求受赠方在融资、市场准入、行政许可、占有其他资源等方面创造便利条件。</w:t>
      </w:r>
    </w:p>
    <w:p w14:paraId="631748E7" w14:textId="5FE628BE"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第五条 </w:t>
      </w:r>
      <w:r>
        <w:rPr>
          <w:rFonts w:ascii="宋体" w:eastAsia="宋体" w:hAnsi="宋体" w:cs="宋体" w:hint="eastAsia"/>
          <w:color w:val="000000"/>
          <w:kern w:val="0"/>
          <w:sz w:val="24"/>
          <w:szCs w:val="24"/>
        </w:rPr>
        <w:t>权责清晰：公司经营者或者其他职工不得将公司拥有的财产以个人名义对外捐赠，公司对外捐赠有权要求受赠人落实</w:t>
      </w:r>
      <w:r w:rsidR="002B6EC6">
        <w:rPr>
          <w:rFonts w:ascii="宋体" w:eastAsia="宋体" w:hAnsi="宋体" w:cs="宋体" w:hint="eastAsia"/>
          <w:color w:val="000000"/>
          <w:kern w:val="0"/>
          <w:sz w:val="24"/>
          <w:szCs w:val="24"/>
        </w:rPr>
        <w:t>公司自身</w:t>
      </w:r>
      <w:r>
        <w:rPr>
          <w:rFonts w:ascii="宋体" w:eastAsia="宋体" w:hAnsi="宋体" w:cs="宋体" w:hint="eastAsia"/>
          <w:color w:val="000000"/>
          <w:kern w:val="0"/>
          <w:sz w:val="24"/>
          <w:szCs w:val="24"/>
        </w:rPr>
        <w:t>正当的捐赠意愿，</w:t>
      </w:r>
      <w:r w:rsidR="002B6EC6">
        <w:rPr>
          <w:rFonts w:ascii="宋体" w:eastAsia="宋体" w:hAnsi="宋体" w:cs="宋体" w:hint="eastAsia"/>
          <w:color w:val="000000"/>
          <w:kern w:val="0"/>
          <w:sz w:val="24"/>
          <w:szCs w:val="24"/>
        </w:rPr>
        <w:t>捐赠用途必须符合公益目的，</w:t>
      </w:r>
      <w:r>
        <w:rPr>
          <w:rFonts w:ascii="宋体" w:eastAsia="宋体" w:hAnsi="宋体" w:cs="宋体" w:hint="eastAsia"/>
          <w:color w:val="000000"/>
          <w:kern w:val="0"/>
          <w:sz w:val="24"/>
          <w:szCs w:val="24"/>
        </w:rPr>
        <w:t>不</w:t>
      </w:r>
      <w:r w:rsidR="002B6EC6">
        <w:rPr>
          <w:rFonts w:ascii="宋体" w:eastAsia="宋体" w:hAnsi="宋体" w:cs="宋体" w:hint="eastAsia"/>
          <w:color w:val="000000"/>
          <w:kern w:val="0"/>
          <w:sz w:val="24"/>
          <w:szCs w:val="24"/>
        </w:rPr>
        <w:t>得</w:t>
      </w:r>
      <w:r>
        <w:rPr>
          <w:rFonts w:ascii="宋体" w:eastAsia="宋体" w:hAnsi="宋体" w:cs="宋体" w:hint="eastAsia"/>
          <w:color w:val="000000"/>
          <w:kern w:val="0"/>
          <w:sz w:val="24"/>
          <w:szCs w:val="24"/>
        </w:rPr>
        <w:t>将捐赠财产挪作他用。</w:t>
      </w:r>
    </w:p>
    <w:p w14:paraId="2878F765" w14:textId="77777777"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公司对外捐赠之前，应按照本制度规定履行相应的决策审批程序，同意后实施。</w:t>
      </w:r>
    </w:p>
    <w:p w14:paraId="3F75953A" w14:textId="0CCE952C"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第六条 </w:t>
      </w:r>
      <w:r>
        <w:rPr>
          <w:rFonts w:ascii="宋体" w:eastAsia="宋体" w:hAnsi="宋体" w:cs="宋体" w:hint="eastAsia"/>
          <w:color w:val="000000"/>
          <w:kern w:val="0"/>
          <w:sz w:val="24"/>
          <w:szCs w:val="24"/>
        </w:rPr>
        <w:t>量力而行：公司应在力所能及的范围内，积极参加社会公益活动，已经发生亏损或者由于对外捐赠将导致亏损或者影响公司正常生产经营的，除特殊情况以外，</w:t>
      </w:r>
      <w:r w:rsidR="002B6EC6">
        <w:rPr>
          <w:rFonts w:ascii="宋体" w:eastAsia="宋体" w:hAnsi="宋体" w:cs="宋体" w:hint="eastAsia"/>
          <w:color w:val="000000"/>
          <w:kern w:val="0"/>
          <w:sz w:val="24"/>
          <w:szCs w:val="24"/>
        </w:rPr>
        <w:t>原则上</w:t>
      </w:r>
      <w:r>
        <w:rPr>
          <w:rFonts w:ascii="宋体" w:eastAsia="宋体" w:hAnsi="宋体" w:cs="宋体" w:hint="eastAsia"/>
          <w:color w:val="000000"/>
          <w:kern w:val="0"/>
          <w:sz w:val="24"/>
          <w:szCs w:val="24"/>
        </w:rPr>
        <w:t>不得对外捐赠。</w:t>
      </w:r>
    </w:p>
    <w:p w14:paraId="127162C8" w14:textId="1BB5E1E9"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第七条 </w:t>
      </w:r>
      <w:r>
        <w:rPr>
          <w:rFonts w:ascii="宋体" w:eastAsia="宋体" w:hAnsi="宋体" w:cs="宋体" w:hint="eastAsia"/>
          <w:color w:val="000000"/>
          <w:kern w:val="0"/>
          <w:sz w:val="24"/>
          <w:szCs w:val="24"/>
        </w:rPr>
        <w:t>诚实守信：公司按照内部议事</w:t>
      </w:r>
      <w:r w:rsidR="00892001">
        <w:rPr>
          <w:rFonts w:ascii="宋体" w:eastAsia="宋体" w:hAnsi="宋体" w:cs="宋体" w:hint="eastAsia"/>
          <w:color w:val="000000"/>
          <w:kern w:val="0"/>
          <w:sz w:val="24"/>
          <w:szCs w:val="24"/>
        </w:rPr>
        <w:t>规则</w:t>
      </w:r>
      <w:r>
        <w:rPr>
          <w:rFonts w:ascii="宋体" w:eastAsia="宋体" w:hAnsi="宋体" w:cs="宋体" w:hint="eastAsia"/>
          <w:color w:val="000000"/>
          <w:kern w:val="0"/>
          <w:sz w:val="24"/>
          <w:szCs w:val="24"/>
        </w:rPr>
        <w:t>审议决定并已经向社会公众或者受赠对象承诺的捐赠，必须诚实履行。</w:t>
      </w:r>
    </w:p>
    <w:p w14:paraId="120A3D42"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第三章 对外捐赠的范围</w:t>
      </w:r>
    </w:p>
    <w:p w14:paraId="76972657" w14:textId="77777777"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第八条 </w:t>
      </w:r>
      <w:r>
        <w:rPr>
          <w:rFonts w:ascii="宋体" w:eastAsia="宋体" w:hAnsi="宋体" w:cs="宋体" w:hint="eastAsia"/>
          <w:color w:val="000000"/>
          <w:kern w:val="0"/>
          <w:sz w:val="24"/>
          <w:szCs w:val="24"/>
        </w:rPr>
        <w:t>公司可以用于对外捐赠的财产包括现金、实物资产（包括库存商品、固定资产及其他有形资产等）。公司生产经营需用的主要固定资产、持有的股权</w:t>
      </w:r>
      <w:r>
        <w:rPr>
          <w:rFonts w:ascii="宋体" w:eastAsia="宋体" w:hAnsi="宋体" w:cs="宋体" w:hint="eastAsia"/>
          <w:color w:val="000000"/>
          <w:kern w:val="0"/>
          <w:sz w:val="24"/>
          <w:szCs w:val="24"/>
        </w:rPr>
        <w:lastRenderedPageBreak/>
        <w:t>和债权、国家特准储备物资、国家财政拨款、受托代管财产、已设置担保物权的财产、权属关系不清的财产，或者变质、残损、过期报废的商品物资，不得用于对外捐赠。</w:t>
      </w:r>
    </w:p>
    <w:p w14:paraId="54667A77"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第四章 对外捐赠的类型和受益人</w:t>
      </w:r>
    </w:p>
    <w:p w14:paraId="56EE5AB9" w14:textId="77777777"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第九条 </w:t>
      </w:r>
      <w:r>
        <w:rPr>
          <w:rFonts w:ascii="宋体" w:eastAsia="宋体" w:hAnsi="宋体" w:cs="宋体" w:hint="eastAsia"/>
          <w:color w:val="000000"/>
          <w:kern w:val="0"/>
          <w:sz w:val="24"/>
          <w:szCs w:val="24"/>
        </w:rPr>
        <w:t>对外捐赠的类型：</w:t>
      </w:r>
    </w:p>
    <w:p w14:paraId="5F537B69" w14:textId="73F06F1D"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（一）公益性捐赠，即向教育、科学、文化、卫生医疗、</w:t>
      </w:r>
      <w:r w:rsidR="007630CE">
        <w:rPr>
          <w:rFonts w:ascii="宋体" w:eastAsia="宋体" w:hAnsi="宋体" w:cs="宋体" w:hint="eastAsia"/>
          <w:color w:val="000000"/>
          <w:kern w:val="0"/>
          <w:sz w:val="24"/>
          <w:szCs w:val="24"/>
        </w:rPr>
        <w:t>公共安全、</w:t>
      </w:r>
      <w:r>
        <w:rPr>
          <w:rFonts w:ascii="宋体" w:eastAsia="宋体" w:hAnsi="宋体" w:cs="宋体" w:hint="eastAsia"/>
          <w:color w:val="000000"/>
          <w:kern w:val="0"/>
          <w:sz w:val="24"/>
          <w:szCs w:val="24"/>
        </w:rPr>
        <w:t>体育事业和环境保护</w:t>
      </w:r>
      <w:r w:rsidR="007630C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社会公共设施建设</w:t>
      </w:r>
      <w:r w:rsidR="007630CE">
        <w:rPr>
          <w:rFonts w:ascii="宋体" w:eastAsia="宋体" w:hAnsi="宋体" w:cs="宋体" w:hint="eastAsia"/>
          <w:color w:val="000000"/>
          <w:kern w:val="0"/>
          <w:sz w:val="24"/>
          <w:szCs w:val="24"/>
        </w:rPr>
        <w:t>等社会公益事业</w:t>
      </w:r>
      <w:r>
        <w:rPr>
          <w:rFonts w:ascii="宋体" w:eastAsia="宋体" w:hAnsi="宋体" w:cs="宋体" w:hint="eastAsia"/>
          <w:color w:val="000000"/>
          <w:kern w:val="0"/>
          <w:sz w:val="24"/>
          <w:szCs w:val="24"/>
        </w:rPr>
        <w:t>的捐赠</w:t>
      </w:r>
      <w:r w:rsidR="007630CE">
        <w:rPr>
          <w:rFonts w:ascii="宋体" w:eastAsia="宋体" w:hAnsi="宋体" w:cs="宋体" w:hint="eastAsia"/>
          <w:color w:val="000000"/>
          <w:kern w:val="0"/>
          <w:sz w:val="24"/>
          <w:szCs w:val="24"/>
        </w:rPr>
        <w:t>；</w:t>
      </w:r>
    </w:p>
    <w:p w14:paraId="383C7DEE" w14:textId="69E39CF9"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救济性捐赠，即向遭受自然灾害或者国家确认的“老、少、边、穷”等地区以及慈善协会、红十字会、残疾人联合会、青少年基金会等社会团体或者困难社会团体和个人提供的用于生产、生活救济、救助的捐赠</w:t>
      </w:r>
      <w:r w:rsidR="007630CE">
        <w:rPr>
          <w:rFonts w:ascii="宋体" w:eastAsia="宋体" w:hAnsi="宋体" w:cs="宋体" w:hint="eastAsia"/>
          <w:color w:val="000000"/>
          <w:kern w:val="0"/>
          <w:sz w:val="24"/>
          <w:szCs w:val="24"/>
        </w:rPr>
        <w:t>；</w:t>
      </w:r>
    </w:p>
    <w:p w14:paraId="0D508979" w14:textId="77777777"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（三）其他捐赠，即除上述捐赠以外，公司出于弘扬人道主义目的或者促进社会发展与进步的其他社会公共和福利事业的捐赠。</w:t>
      </w:r>
    </w:p>
    <w:p w14:paraId="3B38FA0D" w14:textId="77777777"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第十条</w:t>
      </w:r>
      <w:r>
        <w:rPr>
          <w:rFonts w:ascii="宋体" w:eastAsia="宋体" w:hAnsi="宋体" w:cs="宋体" w:hint="eastAsia"/>
          <w:color w:val="000000"/>
          <w:kern w:val="0"/>
          <w:sz w:val="24"/>
          <w:szCs w:val="24"/>
        </w:rPr>
        <w:t xml:space="preserve"> 公司对外捐赠的受益人应为公益性社会团体和公益性非营利的企业及事业单位、社会弱势群体或者需要捐助的个人。其中公益性社会团体是指依法成立的，以发展公益事业为宗旨的基金会、慈善组织等社会团体；公益性非营利的企业及事业单位是指依法成立的，从事公益事业的不以营利为目的的教育机构、科学研究机构、医疗卫生机构、社会公共文化机构、社会公共体育机构和社会福利机构等。</w:t>
      </w:r>
    </w:p>
    <w:p w14:paraId="18D963F3" w14:textId="04E58FE0"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第十一条</w:t>
      </w:r>
      <w:r>
        <w:rPr>
          <w:rFonts w:ascii="宋体" w:eastAsia="宋体" w:hAnsi="宋体" w:cs="宋体" w:hint="eastAsia"/>
          <w:color w:val="000000"/>
          <w:kern w:val="0"/>
          <w:sz w:val="24"/>
          <w:szCs w:val="24"/>
        </w:rPr>
        <w:t xml:space="preserve"> 对公司内部职工、与公司经营或者财务方面具有控制与被控制关系的单位</w:t>
      </w:r>
      <w:r w:rsidR="0096073F">
        <w:rPr>
          <w:rFonts w:ascii="宋体" w:eastAsia="宋体" w:hAnsi="宋体" w:cs="宋体" w:hint="eastAsia"/>
          <w:color w:val="000000"/>
          <w:kern w:val="0"/>
          <w:sz w:val="24"/>
          <w:szCs w:val="24"/>
        </w:rPr>
        <w:t>或个人</w:t>
      </w:r>
      <w:r>
        <w:rPr>
          <w:rFonts w:ascii="宋体" w:eastAsia="宋体" w:hAnsi="宋体" w:cs="宋体" w:hint="eastAsia"/>
          <w:color w:val="000000"/>
          <w:kern w:val="0"/>
          <w:sz w:val="24"/>
          <w:szCs w:val="24"/>
        </w:rPr>
        <w:t>，公司不得给予捐赠。</w:t>
      </w:r>
    </w:p>
    <w:p w14:paraId="1673FF22"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第五章 对外捐赠的决策程序和规则</w:t>
      </w:r>
    </w:p>
    <w:p w14:paraId="42CBC7BE" w14:textId="75DE1693" w:rsidR="00B057B8" w:rsidRDefault="00056E56">
      <w:pPr>
        <w:widowControl/>
        <w:shd w:val="clear" w:color="auto" w:fill="FFFFFF"/>
        <w:spacing w:line="360" w:lineRule="auto"/>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第十二条 </w:t>
      </w:r>
      <w:r>
        <w:rPr>
          <w:rFonts w:ascii="宋体" w:eastAsia="宋体" w:hAnsi="宋体" w:cs="宋体" w:hint="eastAsia"/>
          <w:color w:val="000000"/>
          <w:kern w:val="0"/>
          <w:sz w:val="24"/>
          <w:szCs w:val="24"/>
        </w:rPr>
        <w:t>公司对外捐赠的审批应当严格按照国家相关法律、法规和《公司章程》</w:t>
      </w:r>
      <w:r w:rsidR="009E7791">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sidR="009E7791">
        <w:rPr>
          <w:rFonts w:ascii="宋体" w:eastAsia="宋体" w:hAnsi="宋体" w:cs="宋体" w:hint="eastAsia"/>
          <w:color w:val="000000"/>
          <w:kern w:val="0"/>
          <w:sz w:val="24"/>
          <w:szCs w:val="24"/>
        </w:rPr>
        <w:t>倍加洁集团股份有限公司</w:t>
      </w:r>
      <w:r>
        <w:rPr>
          <w:rFonts w:ascii="宋体" w:eastAsia="宋体" w:hAnsi="宋体" w:cs="宋体" w:hint="eastAsia"/>
          <w:color w:val="000000"/>
          <w:kern w:val="0"/>
          <w:sz w:val="24"/>
          <w:szCs w:val="24"/>
        </w:rPr>
        <w:t>股东会议事规则》《</w:t>
      </w:r>
      <w:r w:rsidR="009E7791">
        <w:rPr>
          <w:rFonts w:ascii="宋体" w:eastAsia="宋体" w:hAnsi="宋体" w:cs="宋体" w:hint="eastAsia"/>
          <w:color w:val="000000"/>
          <w:kern w:val="0"/>
          <w:sz w:val="24"/>
          <w:szCs w:val="24"/>
        </w:rPr>
        <w:t>倍加洁集团股份有限公司</w:t>
      </w:r>
      <w:r>
        <w:rPr>
          <w:rFonts w:ascii="宋体" w:eastAsia="宋体" w:hAnsi="宋体" w:cs="宋体" w:hint="eastAsia"/>
          <w:color w:val="000000"/>
          <w:kern w:val="0"/>
          <w:sz w:val="24"/>
          <w:szCs w:val="24"/>
        </w:rPr>
        <w:t>董事会议事规则》</w:t>
      </w:r>
      <w:r w:rsidR="009E7791">
        <w:rPr>
          <w:rFonts w:ascii="宋体" w:eastAsia="宋体" w:hAnsi="宋体" w:cs="宋体" w:hint="eastAsia"/>
          <w:color w:val="000000"/>
          <w:kern w:val="0"/>
          <w:sz w:val="24"/>
          <w:szCs w:val="24"/>
        </w:rPr>
        <w:t>及本制度</w:t>
      </w:r>
      <w:r>
        <w:rPr>
          <w:rFonts w:ascii="宋体" w:eastAsia="宋体" w:hAnsi="宋体" w:cs="宋体" w:hint="eastAsia"/>
          <w:color w:val="000000"/>
          <w:kern w:val="0"/>
          <w:sz w:val="24"/>
          <w:szCs w:val="24"/>
        </w:rPr>
        <w:t>等规定的权限履行审批程序。</w:t>
      </w:r>
    </w:p>
    <w:p w14:paraId="05AE83F9" w14:textId="564AA207" w:rsidR="00101AC6"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第十三条 </w:t>
      </w:r>
      <w:r>
        <w:rPr>
          <w:rFonts w:ascii="宋体" w:eastAsia="宋体" w:hAnsi="宋体" w:cs="宋体" w:hint="eastAsia"/>
          <w:color w:val="000000"/>
          <w:kern w:val="0"/>
          <w:sz w:val="24"/>
          <w:szCs w:val="24"/>
        </w:rPr>
        <w:t>公司</w:t>
      </w:r>
      <w:r w:rsidR="00101AC6">
        <w:rPr>
          <w:rFonts w:ascii="宋体" w:eastAsia="宋体" w:hAnsi="宋体" w:cs="宋体" w:hint="eastAsia"/>
          <w:color w:val="000000"/>
          <w:kern w:val="0"/>
          <w:sz w:val="24"/>
          <w:szCs w:val="24"/>
        </w:rPr>
        <w:t>的对外捐赠以一个会计年度为核算周期，按捐赠金额大小实行分级审批原则。对外捐赠包括现金捐赠和实物资产捐赠，其中实物资产按捐赠时的账面净值等比例折算为金额计算，同时存在账面值和评估值的，以高者为准。</w:t>
      </w:r>
    </w:p>
    <w:p w14:paraId="02CC20D7" w14:textId="2CB1402E" w:rsidR="00B057B8" w:rsidRDefault="00101AC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公司及子公司发生的对外捐赠，</w:t>
      </w:r>
      <w:r w:rsidR="00056E56">
        <w:rPr>
          <w:rFonts w:ascii="宋体" w:eastAsia="宋体" w:hAnsi="宋体" w:cs="宋体" w:hint="eastAsia"/>
          <w:color w:val="000000"/>
          <w:kern w:val="0"/>
          <w:sz w:val="24"/>
          <w:szCs w:val="24"/>
        </w:rPr>
        <w:t>相应决策程序的具体规定如下：</w:t>
      </w:r>
    </w:p>
    <w:p w14:paraId="0E5310D0" w14:textId="5B0102D9"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101AC6">
        <w:rPr>
          <w:rFonts w:ascii="宋体" w:eastAsia="宋体" w:hAnsi="宋体" w:cs="宋体" w:hint="eastAsia"/>
          <w:color w:val="000000"/>
          <w:kern w:val="0"/>
          <w:sz w:val="24"/>
          <w:szCs w:val="24"/>
        </w:rPr>
        <w:t>公司及子公司</w:t>
      </w:r>
      <w:r w:rsidR="00007DCD" w:rsidRPr="00007DCD">
        <w:rPr>
          <w:rFonts w:ascii="宋体" w:eastAsia="宋体" w:hAnsi="宋体" w:cs="宋体" w:hint="eastAsia"/>
          <w:color w:val="000000"/>
          <w:kern w:val="0"/>
          <w:sz w:val="24"/>
          <w:szCs w:val="24"/>
        </w:rPr>
        <w:t>累计金额不超过100万元的捐赠事项，由董事长审批</w:t>
      </w:r>
      <w:r>
        <w:rPr>
          <w:rFonts w:ascii="宋体" w:eastAsia="宋体" w:hAnsi="宋体" w:cs="宋体" w:hint="eastAsia"/>
          <w:color w:val="000000"/>
          <w:kern w:val="0"/>
          <w:sz w:val="24"/>
          <w:szCs w:val="24"/>
        </w:rPr>
        <w:t>；</w:t>
      </w:r>
    </w:p>
    <w:p w14:paraId="23870C1D" w14:textId="4CC35F66" w:rsidR="00101AC6" w:rsidRPr="00007DCD" w:rsidRDefault="00056E5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kern w:val="0"/>
          <w:sz w:val="24"/>
          <w:szCs w:val="24"/>
        </w:rPr>
        <w:t>（二）</w:t>
      </w:r>
      <w:r w:rsidR="00E50132" w:rsidRPr="00007DCD">
        <w:rPr>
          <w:rFonts w:ascii="宋体" w:eastAsia="宋体" w:hAnsi="宋体" w:cs="宋体" w:hint="eastAsia"/>
          <w:color w:val="000000" w:themeColor="text1"/>
          <w:kern w:val="0"/>
          <w:sz w:val="24"/>
          <w:szCs w:val="24"/>
        </w:rPr>
        <w:t>公司及子公司</w:t>
      </w:r>
      <w:r w:rsidR="00007DCD" w:rsidRPr="00007DCD">
        <w:rPr>
          <w:rFonts w:ascii="宋体" w:eastAsia="宋体" w:hAnsi="宋体" w:cs="宋体" w:hint="eastAsia"/>
          <w:color w:val="000000" w:themeColor="text1"/>
          <w:kern w:val="0"/>
          <w:sz w:val="24"/>
          <w:szCs w:val="24"/>
        </w:rPr>
        <w:t>累计金额超过100万元且不超过300万元的捐赠事项，由董事会审批</w:t>
      </w:r>
      <w:r w:rsidR="00007DCD">
        <w:rPr>
          <w:rFonts w:ascii="宋体" w:eastAsia="宋体" w:hAnsi="宋体" w:cs="宋体" w:hint="eastAsia"/>
          <w:color w:val="000000" w:themeColor="text1"/>
          <w:kern w:val="0"/>
          <w:sz w:val="24"/>
          <w:szCs w:val="24"/>
        </w:rPr>
        <w:t>；</w:t>
      </w:r>
    </w:p>
    <w:p w14:paraId="326B9A01" w14:textId="6D5B3CF1" w:rsidR="00B057B8" w:rsidRDefault="00E50132">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E50132">
        <w:rPr>
          <w:rFonts w:ascii="宋体" w:eastAsia="宋体" w:hAnsi="宋体" w:cs="宋体" w:hint="eastAsia"/>
          <w:color w:val="000000"/>
          <w:kern w:val="0"/>
          <w:sz w:val="24"/>
          <w:szCs w:val="24"/>
        </w:rPr>
        <w:t>（三）</w:t>
      </w:r>
      <w:r w:rsidRPr="00007DCD">
        <w:rPr>
          <w:rFonts w:ascii="宋体" w:eastAsia="宋体" w:hAnsi="宋体" w:cs="宋体" w:hint="eastAsia"/>
          <w:color w:val="000000"/>
          <w:kern w:val="0"/>
          <w:sz w:val="24"/>
          <w:szCs w:val="24"/>
        </w:rPr>
        <w:t>公司及子公司</w:t>
      </w:r>
      <w:r w:rsidR="00007DCD" w:rsidRPr="00007DCD">
        <w:rPr>
          <w:rFonts w:ascii="宋体" w:eastAsia="宋体" w:hAnsi="宋体" w:cs="宋体" w:hint="eastAsia"/>
          <w:color w:val="000000"/>
          <w:kern w:val="0"/>
          <w:sz w:val="24"/>
          <w:szCs w:val="24"/>
        </w:rPr>
        <w:t>累计金额超过300</w:t>
      </w:r>
      <w:r w:rsidR="00007DCD">
        <w:rPr>
          <w:rFonts w:ascii="宋体" w:eastAsia="宋体" w:hAnsi="宋体" w:cs="宋体" w:hint="eastAsia"/>
          <w:color w:val="000000"/>
          <w:kern w:val="0"/>
          <w:sz w:val="24"/>
          <w:szCs w:val="24"/>
        </w:rPr>
        <w:t>万元的捐赠事项，由股东</w:t>
      </w:r>
      <w:r w:rsidR="00007DCD" w:rsidRPr="00007DCD">
        <w:rPr>
          <w:rFonts w:ascii="宋体" w:eastAsia="宋体" w:hAnsi="宋体" w:cs="宋体" w:hint="eastAsia"/>
          <w:color w:val="000000"/>
          <w:kern w:val="0"/>
          <w:sz w:val="24"/>
          <w:szCs w:val="24"/>
        </w:rPr>
        <w:t>会批准。</w:t>
      </w:r>
    </w:p>
    <w:p w14:paraId="6120F7C6" w14:textId="131C28F0" w:rsidR="00E50132" w:rsidRDefault="00E50132">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本制度中所述“累计金额”包含公司及子公司同期发生的捐赠金额。</w:t>
      </w:r>
    </w:p>
    <w:p w14:paraId="495913A6" w14:textId="035AC2A3"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w:t>
      </w:r>
      <w:r w:rsidR="00E50132">
        <w:rPr>
          <w:rFonts w:ascii="宋体" w:eastAsia="宋体" w:hAnsi="宋体" w:cs="宋体" w:hint="eastAsia"/>
          <w:b/>
          <w:color w:val="000000"/>
          <w:kern w:val="0"/>
          <w:sz w:val="24"/>
          <w:szCs w:val="24"/>
        </w:rPr>
        <w:t>四</w:t>
      </w:r>
      <w:r>
        <w:rPr>
          <w:rFonts w:ascii="宋体" w:eastAsia="宋体" w:hAnsi="宋体" w:cs="宋体" w:hint="eastAsia"/>
          <w:b/>
          <w:color w:val="000000"/>
          <w:kern w:val="0"/>
          <w:sz w:val="24"/>
          <w:szCs w:val="24"/>
        </w:rPr>
        <w:t xml:space="preserve">条 </w:t>
      </w:r>
      <w:r>
        <w:rPr>
          <w:rFonts w:ascii="宋体" w:eastAsia="宋体" w:hAnsi="宋体" w:cs="宋体" w:hint="eastAsia"/>
          <w:color w:val="000000"/>
          <w:kern w:val="0"/>
          <w:sz w:val="24"/>
          <w:szCs w:val="24"/>
        </w:rPr>
        <w:t>公司对外捐赠，应当由经办部门和人员提出捐赠方案，由主管领导审核，公司</w:t>
      </w:r>
      <w:r w:rsidR="002C74B0">
        <w:rPr>
          <w:rFonts w:ascii="宋体" w:eastAsia="宋体" w:hAnsi="宋体" w:cs="宋体" w:hint="eastAsia"/>
          <w:color w:val="000000"/>
          <w:kern w:val="0"/>
          <w:sz w:val="24"/>
          <w:szCs w:val="24"/>
        </w:rPr>
        <w:t>财经中心</w:t>
      </w:r>
      <w:r>
        <w:rPr>
          <w:rFonts w:ascii="宋体" w:eastAsia="宋体" w:hAnsi="宋体" w:cs="宋体" w:hint="eastAsia"/>
          <w:color w:val="000000"/>
          <w:kern w:val="0"/>
          <w:sz w:val="24"/>
          <w:szCs w:val="24"/>
        </w:rPr>
        <w:t>就捐赠支出对公司财务状况和经营成果的影响进行分析后，按照本制度第十三条所列情况，履行相应的审批程序。</w:t>
      </w:r>
    </w:p>
    <w:p w14:paraId="17479558" w14:textId="77777777" w:rsidR="00B057B8" w:rsidRDefault="00056E5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捐赠方案应当包括以下内容：捐赠事由、捐赠对象、捐赠途径、捐赠方式、捐赠财产构成及其数额等内容。</w:t>
      </w:r>
    </w:p>
    <w:p w14:paraId="41D61434" w14:textId="5D645883"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w:t>
      </w:r>
      <w:r w:rsidR="00B004B5">
        <w:rPr>
          <w:rFonts w:ascii="宋体" w:eastAsia="宋体" w:hAnsi="宋体" w:cs="宋体" w:hint="eastAsia"/>
          <w:b/>
          <w:color w:val="000000"/>
          <w:kern w:val="0"/>
          <w:sz w:val="24"/>
          <w:szCs w:val="24"/>
        </w:rPr>
        <w:t>五</w:t>
      </w:r>
      <w:r>
        <w:rPr>
          <w:rFonts w:ascii="宋体" w:eastAsia="宋体" w:hAnsi="宋体" w:cs="宋体" w:hint="eastAsia"/>
          <w:b/>
          <w:color w:val="000000"/>
          <w:kern w:val="0"/>
          <w:sz w:val="24"/>
          <w:szCs w:val="24"/>
        </w:rPr>
        <w:t xml:space="preserve">条 </w:t>
      </w:r>
      <w:r>
        <w:rPr>
          <w:rFonts w:ascii="宋体" w:eastAsia="宋体" w:hAnsi="宋体" w:cs="宋体" w:hint="eastAsia"/>
          <w:color w:val="000000"/>
          <w:kern w:val="0"/>
          <w:sz w:val="24"/>
          <w:szCs w:val="24"/>
        </w:rPr>
        <w:t>公司</w:t>
      </w:r>
      <w:r w:rsidR="002C74B0">
        <w:rPr>
          <w:rFonts w:ascii="宋体" w:eastAsia="宋体" w:hAnsi="宋体" w:cs="宋体" w:hint="eastAsia"/>
          <w:color w:val="000000"/>
          <w:kern w:val="0"/>
          <w:sz w:val="24"/>
          <w:szCs w:val="24"/>
        </w:rPr>
        <w:t>各</w:t>
      </w:r>
      <w:r>
        <w:rPr>
          <w:rFonts w:ascii="宋体" w:eastAsia="宋体" w:hAnsi="宋体" w:cs="宋体" w:hint="eastAsia"/>
          <w:color w:val="000000"/>
          <w:kern w:val="0"/>
          <w:sz w:val="24"/>
          <w:szCs w:val="24"/>
        </w:rPr>
        <w:t>子公司对外捐赠，必须将拟定的捐赠方案呈报公司，由公司按照本制度第十三条所列程序审核批准后实施。</w:t>
      </w:r>
    </w:p>
    <w:p w14:paraId="2E6668F0" w14:textId="6DA48615"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w:t>
      </w:r>
      <w:r w:rsidR="00B004B5">
        <w:rPr>
          <w:rFonts w:ascii="宋体" w:eastAsia="宋体" w:hAnsi="宋体" w:cs="宋体" w:hint="eastAsia"/>
          <w:b/>
          <w:color w:val="000000"/>
          <w:kern w:val="0"/>
          <w:sz w:val="24"/>
          <w:szCs w:val="24"/>
        </w:rPr>
        <w:t>六</w:t>
      </w:r>
      <w:r>
        <w:rPr>
          <w:rFonts w:ascii="宋体" w:eastAsia="宋体" w:hAnsi="宋体" w:cs="宋体" w:hint="eastAsia"/>
          <w:b/>
          <w:color w:val="000000"/>
          <w:kern w:val="0"/>
          <w:sz w:val="24"/>
          <w:szCs w:val="24"/>
        </w:rPr>
        <w:t xml:space="preserve">条 </w:t>
      </w:r>
      <w:r>
        <w:rPr>
          <w:rFonts w:ascii="宋体" w:eastAsia="宋体" w:hAnsi="宋体" w:cs="宋体" w:hint="eastAsia"/>
          <w:color w:val="000000"/>
          <w:kern w:val="0"/>
          <w:sz w:val="24"/>
          <w:szCs w:val="24"/>
        </w:rPr>
        <w:t>公司将对捐赠事项统一规划部署，除特殊情况外，原则上同一性质、同一受赠单位的捐赠，年内不重复发生。</w:t>
      </w:r>
    </w:p>
    <w:p w14:paraId="7F112DF4" w14:textId="1BACC831" w:rsidR="00B057B8" w:rsidRDefault="00056E56" w:rsidP="00837394">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w:t>
      </w:r>
      <w:r w:rsidR="00B004B5">
        <w:rPr>
          <w:rFonts w:ascii="宋体" w:eastAsia="宋体" w:hAnsi="宋体" w:cs="宋体" w:hint="eastAsia"/>
          <w:b/>
          <w:color w:val="000000"/>
          <w:kern w:val="0"/>
          <w:sz w:val="24"/>
          <w:szCs w:val="24"/>
        </w:rPr>
        <w:t>七</w:t>
      </w:r>
      <w:r>
        <w:rPr>
          <w:rFonts w:ascii="宋体" w:eastAsia="宋体" w:hAnsi="宋体" w:cs="宋体" w:hint="eastAsia"/>
          <w:b/>
          <w:color w:val="000000"/>
          <w:kern w:val="0"/>
          <w:sz w:val="24"/>
          <w:szCs w:val="24"/>
        </w:rPr>
        <w:t xml:space="preserve">条 </w:t>
      </w:r>
      <w:r>
        <w:rPr>
          <w:rFonts w:ascii="宋体" w:eastAsia="宋体" w:hAnsi="宋体" w:cs="宋体" w:hint="eastAsia"/>
          <w:color w:val="000000"/>
          <w:kern w:val="0"/>
          <w:sz w:val="24"/>
          <w:szCs w:val="24"/>
        </w:rPr>
        <w:t>公司对外捐赠事项完成后，</w:t>
      </w:r>
      <w:r w:rsidR="00325315">
        <w:rPr>
          <w:rFonts w:ascii="宋体" w:eastAsia="宋体" w:hAnsi="宋体" w:cs="宋体" w:hint="eastAsia"/>
          <w:color w:val="000000"/>
          <w:kern w:val="0"/>
          <w:sz w:val="24"/>
          <w:szCs w:val="24"/>
        </w:rPr>
        <w:t>经办部门必须将相关批复、捐赠证明及捐赠执行的图文资料妥善存档</w:t>
      </w:r>
      <w:r w:rsidR="00E23EA0">
        <w:rPr>
          <w:rFonts w:ascii="宋体" w:eastAsia="宋体" w:hAnsi="宋体" w:cs="宋体" w:hint="eastAsia"/>
          <w:color w:val="000000"/>
          <w:kern w:val="0"/>
          <w:sz w:val="24"/>
          <w:szCs w:val="24"/>
        </w:rPr>
        <w:t>，</w:t>
      </w:r>
      <w:r w:rsidR="00325315">
        <w:rPr>
          <w:rFonts w:ascii="宋体" w:eastAsia="宋体" w:hAnsi="宋体" w:cs="宋体" w:hint="eastAsia"/>
          <w:color w:val="000000"/>
          <w:kern w:val="0"/>
          <w:sz w:val="24"/>
          <w:szCs w:val="24"/>
        </w:rPr>
        <w:t>并报送公司董事会办公室备查，对外捐赠事项管理列入公司审计内容。</w:t>
      </w:r>
    </w:p>
    <w:p w14:paraId="3DA0CFAA"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第六章 法律责任</w:t>
      </w:r>
    </w:p>
    <w:p w14:paraId="4D1D70E9" w14:textId="21A50510"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第十</w:t>
      </w:r>
      <w:r w:rsidR="00B004B5">
        <w:rPr>
          <w:rFonts w:ascii="宋体" w:eastAsia="宋体" w:hAnsi="宋体" w:cs="宋体" w:hint="eastAsia"/>
          <w:b/>
          <w:color w:val="000000"/>
          <w:kern w:val="0"/>
          <w:sz w:val="24"/>
          <w:szCs w:val="24"/>
        </w:rPr>
        <w:t>八</w:t>
      </w:r>
      <w:r>
        <w:rPr>
          <w:rFonts w:ascii="宋体" w:eastAsia="宋体" w:hAnsi="宋体" w:cs="宋体" w:hint="eastAsia"/>
          <w:b/>
          <w:color w:val="000000"/>
          <w:kern w:val="0"/>
          <w:sz w:val="24"/>
          <w:szCs w:val="24"/>
        </w:rPr>
        <w:t xml:space="preserve">条 </w:t>
      </w:r>
      <w:r w:rsidR="0032616A" w:rsidRPr="00FE34F0">
        <w:rPr>
          <w:rFonts w:ascii="宋体" w:eastAsia="宋体" w:hAnsi="宋体" w:cs="宋体" w:hint="eastAsia"/>
          <w:color w:val="000000"/>
          <w:kern w:val="0"/>
          <w:sz w:val="24"/>
          <w:szCs w:val="24"/>
        </w:rPr>
        <w:t>对</w:t>
      </w:r>
      <w:r>
        <w:rPr>
          <w:rFonts w:ascii="宋体" w:eastAsia="宋体" w:hAnsi="宋体" w:cs="宋体" w:hint="eastAsia"/>
          <w:color w:val="000000"/>
          <w:kern w:val="0"/>
          <w:sz w:val="24"/>
          <w:szCs w:val="24"/>
        </w:rPr>
        <w:t>未执行本制度规定而擅自进行捐赠，或者以权谋私、转移资产等</w:t>
      </w:r>
      <w:r w:rsidR="0032616A">
        <w:rPr>
          <w:rFonts w:ascii="宋体" w:eastAsia="宋体" w:hAnsi="宋体" w:cs="宋体" w:hint="eastAsia"/>
          <w:color w:val="000000"/>
          <w:kern w:val="0"/>
          <w:sz w:val="24"/>
          <w:szCs w:val="24"/>
        </w:rPr>
        <w:t>违规</w:t>
      </w:r>
      <w:r>
        <w:rPr>
          <w:rFonts w:ascii="宋体" w:eastAsia="宋体" w:hAnsi="宋体" w:cs="宋体" w:hint="eastAsia"/>
          <w:color w:val="000000"/>
          <w:kern w:val="0"/>
          <w:sz w:val="24"/>
          <w:szCs w:val="24"/>
        </w:rPr>
        <w:t>捐赠</w:t>
      </w:r>
      <w:r w:rsidR="0032616A">
        <w:rPr>
          <w:rFonts w:ascii="宋体" w:eastAsia="宋体" w:hAnsi="宋体" w:cs="宋体" w:hint="eastAsia"/>
          <w:color w:val="000000"/>
          <w:kern w:val="0"/>
          <w:sz w:val="24"/>
          <w:szCs w:val="24"/>
        </w:rPr>
        <w:t>行为</w:t>
      </w:r>
      <w:r>
        <w:rPr>
          <w:rFonts w:ascii="宋体" w:eastAsia="宋体" w:hAnsi="宋体" w:cs="宋体" w:hint="eastAsia"/>
          <w:color w:val="000000"/>
          <w:kern w:val="0"/>
          <w:sz w:val="24"/>
          <w:szCs w:val="24"/>
        </w:rPr>
        <w:t>，公司将视情节轻重，对直接责任人和其他</w:t>
      </w:r>
      <w:r w:rsidR="0032616A">
        <w:rPr>
          <w:rFonts w:ascii="宋体" w:eastAsia="宋体" w:hAnsi="宋体" w:cs="宋体" w:hint="eastAsia"/>
          <w:color w:val="000000"/>
          <w:kern w:val="0"/>
          <w:sz w:val="24"/>
          <w:szCs w:val="24"/>
        </w:rPr>
        <w:t>相关</w:t>
      </w:r>
      <w:r>
        <w:rPr>
          <w:rFonts w:ascii="宋体" w:eastAsia="宋体" w:hAnsi="宋体" w:cs="宋体" w:hint="eastAsia"/>
          <w:color w:val="000000"/>
          <w:kern w:val="0"/>
          <w:sz w:val="24"/>
          <w:szCs w:val="24"/>
        </w:rPr>
        <w:t>人</w:t>
      </w:r>
      <w:r w:rsidR="0032616A">
        <w:rPr>
          <w:rFonts w:ascii="宋体" w:eastAsia="宋体" w:hAnsi="宋体" w:cs="宋体" w:hint="eastAsia"/>
          <w:color w:val="000000"/>
          <w:kern w:val="0"/>
          <w:sz w:val="24"/>
          <w:szCs w:val="24"/>
        </w:rPr>
        <w:t>员</w:t>
      </w:r>
      <w:r>
        <w:rPr>
          <w:rFonts w:ascii="宋体" w:eastAsia="宋体" w:hAnsi="宋体" w:cs="宋体" w:hint="eastAsia"/>
          <w:color w:val="000000"/>
          <w:kern w:val="0"/>
          <w:sz w:val="24"/>
          <w:szCs w:val="24"/>
        </w:rPr>
        <w:t>处以降职、免职、开除等处分</w:t>
      </w:r>
      <w:r w:rsidR="0032616A">
        <w:rPr>
          <w:rFonts w:ascii="宋体" w:eastAsia="宋体" w:hAnsi="宋体" w:cs="宋体" w:hint="eastAsia"/>
          <w:color w:val="000000"/>
          <w:kern w:val="0"/>
          <w:sz w:val="24"/>
          <w:szCs w:val="24"/>
        </w:rPr>
        <w:t>；如前述行为涉嫌违法犯罪的</w:t>
      </w:r>
      <w:r>
        <w:rPr>
          <w:rFonts w:ascii="宋体" w:eastAsia="宋体" w:hAnsi="宋体" w:cs="宋体" w:hint="eastAsia"/>
          <w:color w:val="000000"/>
          <w:kern w:val="0"/>
          <w:sz w:val="24"/>
          <w:szCs w:val="24"/>
        </w:rPr>
        <w:t>，</w:t>
      </w:r>
      <w:r w:rsidR="0032616A">
        <w:rPr>
          <w:rFonts w:ascii="宋体" w:eastAsia="宋体" w:hAnsi="宋体" w:cs="宋体" w:hint="eastAsia"/>
          <w:color w:val="000000"/>
          <w:kern w:val="0"/>
          <w:sz w:val="24"/>
          <w:szCs w:val="24"/>
        </w:rPr>
        <w:t>公司有权移交</w:t>
      </w:r>
      <w:r>
        <w:rPr>
          <w:rFonts w:ascii="宋体" w:eastAsia="宋体" w:hAnsi="宋体" w:cs="宋体" w:hint="eastAsia"/>
          <w:color w:val="000000"/>
          <w:kern w:val="0"/>
          <w:sz w:val="24"/>
          <w:szCs w:val="24"/>
        </w:rPr>
        <w:t>司法机关处理。</w:t>
      </w:r>
    </w:p>
    <w:p w14:paraId="2A3ECA31" w14:textId="77777777" w:rsidR="00B057B8" w:rsidRDefault="00056E56">
      <w:pPr>
        <w:pStyle w:val="1"/>
        <w:spacing w:beforeLines="50" w:before="156" w:afterLines="50" w:after="156" w:line="360" w:lineRule="auto"/>
        <w:ind w:firstLineChars="200" w:firstLine="562"/>
        <w:jc w:val="center"/>
        <w:rPr>
          <w:rFonts w:ascii="宋体" w:eastAsia="宋体" w:hAnsi="宋体" w:cs="宋体"/>
          <w:sz w:val="28"/>
          <w:szCs w:val="28"/>
        </w:rPr>
      </w:pPr>
      <w:r>
        <w:rPr>
          <w:rFonts w:ascii="宋体" w:eastAsia="宋体" w:hAnsi="宋体" w:cs="宋体" w:hint="eastAsia"/>
          <w:sz w:val="28"/>
          <w:szCs w:val="28"/>
        </w:rPr>
        <w:t>第七章 附 则</w:t>
      </w:r>
    </w:p>
    <w:p w14:paraId="45012431" w14:textId="2CA7BFCA" w:rsidR="001A0968" w:rsidRDefault="00056E56" w:rsidP="00837394">
      <w:pPr>
        <w:widowControl/>
        <w:shd w:val="clear" w:color="auto" w:fill="FFFFFF"/>
        <w:spacing w:line="360" w:lineRule="auto"/>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第十</w:t>
      </w:r>
      <w:r w:rsidR="00B004B5">
        <w:rPr>
          <w:rFonts w:ascii="宋体" w:eastAsia="宋体" w:hAnsi="宋体" w:cs="宋体" w:hint="eastAsia"/>
          <w:b/>
          <w:color w:val="000000"/>
          <w:kern w:val="0"/>
          <w:sz w:val="24"/>
          <w:szCs w:val="24"/>
        </w:rPr>
        <w:t>九</w:t>
      </w:r>
      <w:r>
        <w:rPr>
          <w:rFonts w:ascii="宋体" w:eastAsia="宋体" w:hAnsi="宋体" w:cs="宋体" w:hint="eastAsia"/>
          <w:b/>
          <w:color w:val="000000"/>
          <w:kern w:val="0"/>
          <w:sz w:val="24"/>
          <w:szCs w:val="24"/>
        </w:rPr>
        <w:t xml:space="preserve">条 </w:t>
      </w:r>
      <w:r w:rsidR="001A0968" w:rsidRPr="001A0968">
        <w:rPr>
          <w:rFonts w:ascii="宋体" w:eastAsia="宋体" w:hAnsi="宋体" w:cs="宋体" w:hint="eastAsia"/>
          <w:color w:val="000000"/>
          <w:kern w:val="0"/>
          <w:sz w:val="24"/>
          <w:szCs w:val="24"/>
        </w:rPr>
        <w:t>本制度</w:t>
      </w:r>
      <w:r w:rsidR="001A0968">
        <w:rPr>
          <w:rFonts w:ascii="宋体" w:eastAsia="宋体" w:hAnsi="宋体" w:cs="宋体" w:hint="eastAsia"/>
          <w:color w:val="000000"/>
          <w:kern w:val="0"/>
          <w:sz w:val="24"/>
          <w:szCs w:val="24"/>
        </w:rPr>
        <w:t>自董事会</w:t>
      </w:r>
      <w:r w:rsidR="001A0968" w:rsidRPr="001A0968">
        <w:rPr>
          <w:rFonts w:ascii="宋体" w:eastAsia="宋体" w:hAnsi="宋体" w:cs="宋体" w:hint="eastAsia"/>
          <w:color w:val="000000"/>
          <w:kern w:val="0"/>
          <w:sz w:val="24"/>
          <w:szCs w:val="24"/>
        </w:rPr>
        <w:t>审议通过之日起生效</w:t>
      </w:r>
      <w:r w:rsidR="001A0968">
        <w:rPr>
          <w:rFonts w:ascii="宋体" w:eastAsia="宋体" w:hAnsi="宋体" w:cs="宋体" w:hint="eastAsia"/>
          <w:color w:val="000000"/>
          <w:kern w:val="0"/>
          <w:sz w:val="24"/>
          <w:szCs w:val="24"/>
        </w:rPr>
        <w:t>并</w:t>
      </w:r>
      <w:r w:rsidR="001A0968" w:rsidRPr="001A0968">
        <w:rPr>
          <w:rFonts w:ascii="宋体" w:eastAsia="宋体" w:hAnsi="宋体" w:cs="宋体" w:hint="eastAsia"/>
          <w:color w:val="000000"/>
          <w:kern w:val="0"/>
          <w:sz w:val="24"/>
          <w:szCs w:val="24"/>
        </w:rPr>
        <w:t>实施</w:t>
      </w:r>
      <w:r w:rsidR="001A0968">
        <w:rPr>
          <w:rFonts w:ascii="宋体" w:eastAsia="宋体" w:hAnsi="宋体" w:cs="宋体" w:hint="eastAsia"/>
          <w:color w:val="000000"/>
          <w:kern w:val="0"/>
          <w:sz w:val="24"/>
          <w:szCs w:val="24"/>
        </w:rPr>
        <w:t>，修改时亦同</w:t>
      </w:r>
      <w:r w:rsidR="001A0968" w:rsidRPr="001A0968">
        <w:rPr>
          <w:rFonts w:ascii="宋体" w:eastAsia="宋体" w:hAnsi="宋体" w:cs="宋体" w:hint="eastAsia"/>
          <w:color w:val="000000"/>
          <w:kern w:val="0"/>
          <w:sz w:val="24"/>
          <w:szCs w:val="24"/>
        </w:rPr>
        <w:t>。</w:t>
      </w:r>
    </w:p>
    <w:p w14:paraId="016CDAD4" w14:textId="77777777" w:rsidR="001A0968" w:rsidRDefault="001A0968" w:rsidP="001A0968">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 xml:space="preserve">第二十条 </w:t>
      </w:r>
      <w:r>
        <w:rPr>
          <w:rFonts w:ascii="宋体" w:eastAsia="宋体" w:hAnsi="宋体" w:cs="宋体" w:hint="eastAsia"/>
          <w:color w:val="000000"/>
          <w:kern w:val="0"/>
          <w:sz w:val="24"/>
          <w:szCs w:val="24"/>
        </w:rPr>
        <w:t>本制度所称“以上”含本数，“超过”不含本数。</w:t>
      </w:r>
    </w:p>
    <w:p w14:paraId="6AB50CEC" w14:textId="36883353" w:rsidR="00B057B8" w:rsidRDefault="001A0968" w:rsidP="001A0968">
      <w:pPr>
        <w:widowControl/>
        <w:shd w:val="clear" w:color="auto" w:fill="FFFFFF"/>
        <w:spacing w:line="360" w:lineRule="auto"/>
        <w:ind w:firstLineChars="200" w:firstLine="482"/>
        <w:jc w:val="left"/>
        <w:rPr>
          <w:rFonts w:ascii="宋体" w:eastAsia="宋体" w:hAnsi="宋体" w:cs="宋体"/>
          <w:color w:val="000000"/>
          <w:kern w:val="0"/>
          <w:sz w:val="24"/>
          <w:szCs w:val="24"/>
        </w:rPr>
      </w:pPr>
      <w:r w:rsidRPr="001A0968">
        <w:rPr>
          <w:rFonts w:ascii="宋体" w:eastAsia="宋体" w:hAnsi="宋体" w:cs="宋体" w:hint="eastAsia"/>
          <w:b/>
          <w:color w:val="000000"/>
          <w:kern w:val="0"/>
          <w:sz w:val="24"/>
          <w:szCs w:val="24"/>
        </w:rPr>
        <w:t xml:space="preserve">第二十一条 </w:t>
      </w:r>
      <w:r w:rsidR="004F0E0A" w:rsidRPr="004F0E0A">
        <w:rPr>
          <w:rFonts w:ascii="宋体" w:eastAsia="宋体" w:hAnsi="宋体" w:cs="宋体" w:hint="eastAsia"/>
          <w:color w:val="000000"/>
          <w:kern w:val="0"/>
          <w:sz w:val="24"/>
          <w:szCs w:val="24"/>
        </w:rPr>
        <w:t>本制度未尽事宜，按国家有关法律、行政法规、部门规章、规范性文件和《公司章程》的规定执行；本制度与有关法律、行政法规、部门规章、</w:t>
      </w:r>
      <w:r w:rsidR="004F0E0A" w:rsidRPr="004F0E0A">
        <w:rPr>
          <w:rFonts w:ascii="宋体" w:eastAsia="宋体" w:hAnsi="宋体" w:cs="宋体" w:hint="eastAsia"/>
          <w:color w:val="000000"/>
          <w:kern w:val="0"/>
          <w:sz w:val="24"/>
          <w:szCs w:val="24"/>
        </w:rPr>
        <w:lastRenderedPageBreak/>
        <w:t>规范性文件以及《公司章程》的有关规定不一致的，以有关法律、行政法规、部门规章、规范性文件以及《公司章程》的有关规定为准；本制度如与国家日后颁布的法律、行政法规、部门规章、规范性文件或经合法程序修改后的《公司章程》相抵触时，按国家有关法律、行政法规、部门规章、规范性文件和《公司章程》的规定执行。</w:t>
      </w:r>
    </w:p>
    <w:p w14:paraId="2E577626" w14:textId="0028B4EB" w:rsidR="00B057B8" w:rsidRDefault="00056E56">
      <w:pPr>
        <w:widowControl/>
        <w:shd w:val="clear" w:color="auto" w:fill="FFFFFF"/>
        <w:spacing w:line="360" w:lineRule="auto"/>
        <w:ind w:firstLineChars="200" w:firstLine="482"/>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第二十</w:t>
      </w:r>
      <w:r w:rsidR="001A0968">
        <w:rPr>
          <w:rFonts w:ascii="宋体" w:eastAsia="宋体" w:hAnsi="宋体" w:cs="宋体" w:hint="eastAsia"/>
          <w:color w:val="000000"/>
          <w:kern w:val="0"/>
          <w:sz w:val="24"/>
          <w:szCs w:val="24"/>
        </w:rPr>
        <w:t>二</w:t>
      </w:r>
      <w:r>
        <w:rPr>
          <w:rFonts w:ascii="宋体" w:eastAsia="宋体" w:hAnsi="宋体" w:cs="宋体" w:hint="eastAsia"/>
          <w:b/>
          <w:color w:val="000000"/>
          <w:kern w:val="0"/>
          <w:sz w:val="24"/>
          <w:szCs w:val="24"/>
        </w:rPr>
        <w:t>条</w:t>
      </w:r>
      <w:r>
        <w:rPr>
          <w:rFonts w:ascii="宋体" w:eastAsia="宋体" w:hAnsi="宋体" w:cs="宋体" w:hint="eastAsia"/>
          <w:color w:val="000000"/>
          <w:kern w:val="0"/>
          <w:sz w:val="24"/>
          <w:szCs w:val="24"/>
        </w:rPr>
        <w:t xml:space="preserve"> </w:t>
      </w:r>
      <w:r>
        <w:rPr>
          <w:rFonts w:ascii="宋体" w:eastAsia="宋体" w:hAnsi="宋体" w:cs="宋体" w:hint="eastAsia"/>
          <w:sz w:val="24"/>
          <w:szCs w:val="24"/>
          <w:shd w:val="clear" w:color="auto" w:fill="FFFFFF"/>
        </w:rPr>
        <w:t>本制度由公司董事会负责</w:t>
      </w:r>
      <w:r w:rsidR="001A0968">
        <w:rPr>
          <w:rFonts w:ascii="宋体" w:eastAsia="宋体" w:hAnsi="宋体" w:cs="宋体" w:hint="eastAsia"/>
          <w:sz w:val="24"/>
          <w:szCs w:val="24"/>
          <w:shd w:val="clear" w:color="auto" w:fill="FFFFFF"/>
        </w:rPr>
        <w:t>解释。</w:t>
      </w:r>
      <w:bookmarkStart w:id="0" w:name="_GoBack"/>
      <w:bookmarkEnd w:id="0"/>
    </w:p>
    <w:sectPr w:rsidR="00B057B8" w:rsidSect="00A400B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950C1" w14:textId="77777777" w:rsidR="003F5F5C" w:rsidRDefault="003F5F5C" w:rsidP="004A2A89">
      <w:r>
        <w:separator/>
      </w:r>
    </w:p>
  </w:endnote>
  <w:endnote w:type="continuationSeparator" w:id="0">
    <w:p w14:paraId="77A96A38" w14:textId="77777777" w:rsidR="003F5F5C" w:rsidRDefault="003F5F5C" w:rsidP="004A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64C5" w14:textId="6AABE96B" w:rsidR="00A400B7" w:rsidRDefault="00A400B7">
    <w:pPr>
      <w:pStyle w:val="a3"/>
      <w:jc w:val="center"/>
    </w:pPr>
  </w:p>
  <w:p w14:paraId="56029791" w14:textId="77777777" w:rsidR="00A400B7" w:rsidRDefault="00A400B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067355"/>
      <w:docPartObj>
        <w:docPartGallery w:val="Page Numbers (Bottom of Page)"/>
        <w:docPartUnique/>
      </w:docPartObj>
    </w:sdtPr>
    <w:sdtContent>
      <w:p w14:paraId="4FD281DE" w14:textId="5B56F4D3" w:rsidR="00A400B7" w:rsidRDefault="00A400B7">
        <w:pPr>
          <w:pStyle w:val="a3"/>
          <w:jc w:val="center"/>
        </w:pPr>
        <w:r>
          <w:fldChar w:fldCharType="begin"/>
        </w:r>
        <w:r>
          <w:instrText>PAGE   \* MERGEFORMAT</w:instrText>
        </w:r>
        <w:r>
          <w:fldChar w:fldCharType="separate"/>
        </w:r>
        <w:r w:rsidRPr="00A400B7">
          <w:rPr>
            <w:noProof/>
            <w:lang w:val="zh-CN"/>
          </w:rPr>
          <w:t>1</w:t>
        </w:r>
        <w:r>
          <w:fldChar w:fldCharType="end"/>
        </w:r>
      </w:p>
    </w:sdtContent>
  </w:sdt>
  <w:p w14:paraId="59CCFBA3" w14:textId="77777777" w:rsidR="00A400B7" w:rsidRDefault="00A400B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39D2" w14:textId="77777777" w:rsidR="003F5F5C" w:rsidRDefault="003F5F5C" w:rsidP="004A2A89">
      <w:r>
        <w:separator/>
      </w:r>
    </w:p>
  </w:footnote>
  <w:footnote w:type="continuationSeparator" w:id="0">
    <w:p w14:paraId="1C95DB8A" w14:textId="77777777" w:rsidR="003F5F5C" w:rsidRDefault="003F5F5C" w:rsidP="004A2A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774A" w14:textId="37227086" w:rsidR="004A2A89" w:rsidRDefault="004A2A89">
    <w:pPr>
      <w:pStyle w:val="a5"/>
    </w:pPr>
    <w:r>
      <w:rPr>
        <w:rFonts w:hint="eastAsia"/>
      </w:rPr>
      <w:t>倍加洁集团股份有限公司</w:t>
    </w:r>
    <w:r>
      <w:ptab w:relativeTo="margin" w:alignment="center" w:leader="none"/>
    </w:r>
    <w:r>
      <w:ptab w:relativeTo="margin" w:alignment="right" w:leader="none"/>
    </w:r>
    <w:r>
      <w:rPr>
        <w:rFonts w:hint="eastAsia"/>
      </w:rPr>
      <w:t>对外捐赠制度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TZhNjNjM2I5Njg2ZTI3MjVhMzQwYzk0Mzk2M2YifQ=="/>
    <w:docVar w:name="KSO_WPS_MARK_KEY" w:val="d58a424c-f963-4a49-9098-3032c2c78a8a"/>
  </w:docVars>
  <w:rsids>
    <w:rsidRoot w:val="008E6B84"/>
    <w:rsid w:val="00002AA2"/>
    <w:rsid w:val="00007DCD"/>
    <w:rsid w:val="00056E56"/>
    <w:rsid w:val="000A7074"/>
    <w:rsid w:val="00101AC6"/>
    <w:rsid w:val="0014235C"/>
    <w:rsid w:val="0015105E"/>
    <w:rsid w:val="00155365"/>
    <w:rsid w:val="001A0968"/>
    <w:rsid w:val="001D5C42"/>
    <w:rsid w:val="001F5D5A"/>
    <w:rsid w:val="002A53AC"/>
    <w:rsid w:val="002B1079"/>
    <w:rsid w:val="002B6EC6"/>
    <w:rsid w:val="002C74B0"/>
    <w:rsid w:val="003151B3"/>
    <w:rsid w:val="00325315"/>
    <w:rsid w:val="0032616A"/>
    <w:rsid w:val="0037088F"/>
    <w:rsid w:val="003F5F5C"/>
    <w:rsid w:val="004A2A89"/>
    <w:rsid w:val="004F0E0A"/>
    <w:rsid w:val="005A20F6"/>
    <w:rsid w:val="005E0FE9"/>
    <w:rsid w:val="0061495A"/>
    <w:rsid w:val="006645A8"/>
    <w:rsid w:val="006B14E5"/>
    <w:rsid w:val="006C23CC"/>
    <w:rsid w:val="007630CE"/>
    <w:rsid w:val="007761A5"/>
    <w:rsid w:val="0077639B"/>
    <w:rsid w:val="007773EB"/>
    <w:rsid w:val="007B591D"/>
    <w:rsid w:val="00837394"/>
    <w:rsid w:val="008813A0"/>
    <w:rsid w:val="00892001"/>
    <w:rsid w:val="008C3C29"/>
    <w:rsid w:val="008E6B84"/>
    <w:rsid w:val="009233D3"/>
    <w:rsid w:val="0096073F"/>
    <w:rsid w:val="00982ACD"/>
    <w:rsid w:val="00987DF7"/>
    <w:rsid w:val="009D11B0"/>
    <w:rsid w:val="009D557E"/>
    <w:rsid w:val="009E7791"/>
    <w:rsid w:val="00A0563A"/>
    <w:rsid w:val="00A062A7"/>
    <w:rsid w:val="00A400B7"/>
    <w:rsid w:val="00A711C1"/>
    <w:rsid w:val="00AD6228"/>
    <w:rsid w:val="00B004B5"/>
    <w:rsid w:val="00B057B8"/>
    <w:rsid w:val="00B137EE"/>
    <w:rsid w:val="00B4015C"/>
    <w:rsid w:val="00B67271"/>
    <w:rsid w:val="00B92581"/>
    <w:rsid w:val="00B974D8"/>
    <w:rsid w:val="00BA66E2"/>
    <w:rsid w:val="00C208F1"/>
    <w:rsid w:val="00CB4B5E"/>
    <w:rsid w:val="00D50353"/>
    <w:rsid w:val="00DE0178"/>
    <w:rsid w:val="00E23EA0"/>
    <w:rsid w:val="00E50132"/>
    <w:rsid w:val="00E51CBB"/>
    <w:rsid w:val="00E80FA2"/>
    <w:rsid w:val="00E81DF2"/>
    <w:rsid w:val="00E960C5"/>
    <w:rsid w:val="00EA37E3"/>
    <w:rsid w:val="00EC0A1F"/>
    <w:rsid w:val="00FE34F0"/>
    <w:rsid w:val="02382AE4"/>
    <w:rsid w:val="03B57560"/>
    <w:rsid w:val="13F06956"/>
    <w:rsid w:val="18A87BA5"/>
    <w:rsid w:val="18C62067"/>
    <w:rsid w:val="19452D2D"/>
    <w:rsid w:val="2363760D"/>
    <w:rsid w:val="2613738E"/>
    <w:rsid w:val="34ED2FE6"/>
    <w:rsid w:val="36607800"/>
    <w:rsid w:val="43BF3DD1"/>
    <w:rsid w:val="50455556"/>
    <w:rsid w:val="53073887"/>
    <w:rsid w:val="5ED71394"/>
    <w:rsid w:val="653B5535"/>
    <w:rsid w:val="6D066689"/>
    <w:rsid w:val="73E06207"/>
    <w:rsid w:val="763F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DC05"/>
  <w15:docId w15:val="{D7D3FC02-3DCC-4268-81D9-67802C6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styleId="a8">
    <w:name w:val="Balloon Text"/>
    <w:basedOn w:val="a"/>
    <w:link w:val="a9"/>
    <w:uiPriority w:val="99"/>
    <w:semiHidden/>
    <w:unhideWhenUsed/>
    <w:rsid w:val="00837394"/>
    <w:rPr>
      <w:sz w:val="18"/>
      <w:szCs w:val="18"/>
    </w:rPr>
  </w:style>
  <w:style w:type="character" w:customStyle="1" w:styleId="a9">
    <w:name w:val="批注框文本 字符"/>
    <w:basedOn w:val="a0"/>
    <w:link w:val="a8"/>
    <w:uiPriority w:val="99"/>
    <w:semiHidden/>
    <w:rsid w:val="008373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29"/>
    <w:rsid w:val="005C3CDF"/>
    <w:rsid w:val="00E2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3A9B839BD84D69A863BBDC74F758FD">
    <w:name w:val="543A9B839BD84D69A863BBDC74F758FD"/>
    <w:rsid w:val="00E233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1025</Words>
  <Characters>1385</Characters>
  <Application>Microsoft Office Word</Application>
  <DocSecurity>0</DocSecurity>
  <Lines>173</Lines>
  <Paragraphs>160</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孙彬</cp:lastModifiedBy>
  <cp:revision>45</cp:revision>
  <dcterms:created xsi:type="dcterms:W3CDTF">2025-07-22T08:17:00Z</dcterms:created>
  <dcterms:modified xsi:type="dcterms:W3CDTF">2025-08-26T06:43:00Z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80D4D653D0F3473FA3A19F57A31364B0_13</vt:lpwstr>
  </property>
</Properties>
</file>