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2A721" w14:textId="1760BE77" w:rsidR="008319AC" w:rsidRPr="003C09D7" w:rsidRDefault="008319AC" w:rsidP="008319AC">
      <w:pPr>
        <w:adjustRightInd w:val="0"/>
        <w:snapToGrid w:val="0"/>
        <w:spacing w:line="560" w:lineRule="exact"/>
        <w:rPr>
          <w:rFonts w:ascii="宋体" w:hAnsi="宋体"/>
          <w:sz w:val="24"/>
        </w:rPr>
      </w:pPr>
      <w:r w:rsidRPr="003C09D7">
        <w:rPr>
          <w:rFonts w:ascii="宋体" w:hAnsi="宋体"/>
          <w:sz w:val="24"/>
        </w:rPr>
        <w:t xml:space="preserve">证券代码：603059     </w:t>
      </w:r>
      <w:r w:rsidR="00025DC5">
        <w:rPr>
          <w:rFonts w:ascii="宋体" w:hAnsi="宋体"/>
          <w:sz w:val="24"/>
        </w:rPr>
        <w:t xml:space="preserve">     </w:t>
      </w:r>
      <w:r w:rsidRPr="003C09D7">
        <w:rPr>
          <w:rFonts w:ascii="宋体" w:hAnsi="宋体"/>
          <w:sz w:val="24"/>
        </w:rPr>
        <w:t>证券简称：</w:t>
      </w:r>
      <w:r w:rsidRPr="003C09D7">
        <w:rPr>
          <w:rFonts w:ascii="宋体" w:hAnsi="宋体" w:hint="eastAsia"/>
          <w:sz w:val="24"/>
        </w:rPr>
        <w:t>倍加洁</w:t>
      </w:r>
      <w:r w:rsidRPr="003C09D7">
        <w:rPr>
          <w:rFonts w:ascii="宋体" w:hAnsi="宋体"/>
          <w:sz w:val="24"/>
        </w:rPr>
        <w:t xml:space="preserve">    </w:t>
      </w:r>
      <w:r w:rsidR="00025DC5">
        <w:rPr>
          <w:rFonts w:ascii="宋体" w:hAnsi="宋体"/>
          <w:sz w:val="24"/>
        </w:rPr>
        <w:t xml:space="preserve">     </w:t>
      </w:r>
      <w:r w:rsidRPr="003C09D7">
        <w:rPr>
          <w:rFonts w:ascii="宋体" w:hAnsi="宋体"/>
          <w:sz w:val="24"/>
        </w:rPr>
        <w:t>公告编号：</w:t>
      </w:r>
      <w:r w:rsidR="00025DC5">
        <w:rPr>
          <w:rFonts w:ascii="宋体" w:hAnsi="宋体" w:hint="eastAsia"/>
          <w:sz w:val="24"/>
        </w:rPr>
        <w:t>2</w:t>
      </w:r>
      <w:r w:rsidR="00025DC5">
        <w:rPr>
          <w:rFonts w:ascii="宋体" w:hAnsi="宋体"/>
          <w:sz w:val="24"/>
        </w:rPr>
        <w:t>025-021</w:t>
      </w:r>
    </w:p>
    <w:p w14:paraId="0B572221" w14:textId="77777777" w:rsidR="008319AC" w:rsidRPr="00025DC5" w:rsidRDefault="008319AC" w:rsidP="008319AC">
      <w:pPr>
        <w:snapToGrid w:val="0"/>
        <w:spacing w:line="560" w:lineRule="exact"/>
        <w:jc w:val="center"/>
        <w:rPr>
          <w:rFonts w:ascii="黑体" w:eastAsia="黑体" w:hAnsi="黑体"/>
          <w:b/>
          <w:color w:val="FF0000"/>
          <w:sz w:val="36"/>
          <w:szCs w:val="36"/>
        </w:rPr>
      </w:pPr>
      <w:r w:rsidRPr="00025DC5">
        <w:rPr>
          <w:rFonts w:ascii="黑体" w:eastAsia="黑体" w:hAnsi="黑体" w:hint="eastAsia"/>
          <w:b/>
          <w:color w:val="FF0000"/>
          <w:sz w:val="36"/>
          <w:szCs w:val="36"/>
        </w:rPr>
        <w:t>倍加洁集团股份有限公司</w:t>
      </w:r>
    </w:p>
    <w:p w14:paraId="6DDB0468" w14:textId="51B4876E" w:rsidR="008319AC" w:rsidRPr="00025DC5" w:rsidRDefault="00352DD1" w:rsidP="008319AC">
      <w:pPr>
        <w:snapToGrid w:val="0"/>
        <w:spacing w:line="560" w:lineRule="exact"/>
        <w:jc w:val="center"/>
        <w:rPr>
          <w:rFonts w:ascii="黑体" w:eastAsia="黑体" w:hAnsi="黑体"/>
          <w:b/>
          <w:color w:val="FF0000"/>
          <w:sz w:val="36"/>
          <w:szCs w:val="36"/>
        </w:rPr>
      </w:pPr>
      <w:r w:rsidRPr="00025DC5">
        <w:rPr>
          <w:rFonts w:ascii="黑体" w:eastAsia="黑体" w:hAnsi="黑体" w:hint="eastAsia"/>
          <w:b/>
          <w:color w:val="FF0000"/>
          <w:sz w:val="36"/>
          <w:szCs w:val="36"/>
        </w:rPr>
        <w:t>关于计提资产减值准备的公告</w:t>
      </w:r>
    </w:p>
    <w:p w14:paraId="698E5477" w14:textId="35F55554" w:rsidR="008319AC" w:rsidRPr="003C09D7" w:rsidRDefault="008319AC" w:rsidP="008319AC">
      <w:pPr>
        <w:pBdr>
          <w:top w:val="single" w:sz="4" w:space="1" w:color="auto"/>
          <w:left w:val="single" w:sz="4" w:space="4" w:color="auto"/>
          <w:bottom w:val="single" w:sz="4" w:space="2" w:color="auto"/>
          <w:right w:val="single" w:sz="4" w:space="4" w:color="auto"/>
        </w:pBdr>
        <w:adjustRightInd w:val="0"/>
        <w:spacing w:line="560" w:lineRule="exact"/>
        <w:rPr>
          <w:rFonts w:ascii="宋体" w:hAnsi="宋体"/>
          <w:sz w:val="24"/>
        </w:rPr>
      </w:pPr>
      <w:r w:rsidRPr="003C09D7">
        <w:rPr>
          <w:rFonts w:ascii="宋体" w:hAnsi="宋体"/>
          <w:color w:val="000000"/>
          <w:sz w:val="24"/>
        </w:rPr>
        <w:t xml:space="preserve">    本公司董事会及全体董事保证本公告内容不存在任何虚假记载、误导性陈述或者重大遗漏，并对其内容的真实性、准确性和完整性承担法律责任。    </w:t>
      </w:r>
    </w:p>
    <w:p w14:paraId="144B4E59" w14:textId="77777777" w:rsidR="008319AC" w:rsidRPr="003C09D7" w:rsidRDefault="008319AC" w:rsidP="008319AC">
      <w:pPr>
        <w:adjustRightInd w:val="0"/>
        <w:snapToGrid w:val="0"/>
        <w:spacing w:line="560" w:lineRule="exact"/>
        <w:ind w:firstLineChars="200" w:firstLine="482"/>
        <w:rPr>
          <w:rFonts w:ascii="宋体" w:hAnsi="宋体"/>
          <w:b/>
          <w:sz w:val="24"/>
        </w:rPr>
      </w:pPr>
      <w:r w:rsidRPr="003C09D7">
        <w:rPr>
          <w:rFonts w:ascii="宋体" w:hAnsi="宋体"/>
          <w:b/>
          <w:sz w:val="24"/>
        </w:rPr>
        <w:t>重要内容提示：</w:t>
      </w:r>
    </w:p>
    <w:p w14:paraId="5B1F3C42" w14:textId="09F03149" w:rsidR="008319AC" w:rsidRPr="00352DD1" w:rsidRDefault="00E14477" w:rsidP="00352DD1">
      <w:pPr>
        <w:pStyle w:val="a9"/>
        <w:numPr>
          <w:ilvl w:val="0"/>
          <w:numId w:val="3"/>
        </w:numPr>
        <w:adjustRightInd w:val="0"/>
        <w:snapToGrid w:val="0"/>
        <w:spacing w:line="560" w:lineRule="exact"/>
        <w:ind w:left="0" w:firstLineChars="200" w:firstLine="480"/>
        <w:rPr>
          <w:rFonts w:ascii="宋体" w:hAnsi="宋体"/>
          <w:sz w:val="24"/>
        </w:rPr>
      </w:pPr>
      <w:r>
        <w:rPr>
          <w:rFonts w:ascii="宋体" w:hAnsi="宋体" w:hint="eastAsia"/>
          <w:sz w:val="24"/>
        </w:rPr>
        <w:t>倍加洁集团股份有限公司（以下简称“公司”</w:t>
      </w:r>
      <w:r w:rsidR="00352DD1" w:rsidRPr="00352DD1">
        <w:rPr>
          <w:rFonts w:ascii="宋体" w:hAnsi="宋体" w:hint="eastAsia"/>
          <w:sz w:val="24"/>
        </w:rPr>
        <w:t>）于202</w:t>
      </w:r>
      <w:r w:rsidR="00352DD1">
        <w:rPr>
          <w:rFonts w:ascii="宋体" w:hAnsi="宋体" w:hint="eastAsia"/>
          <w:sz w:val="24"/>
        </w:rPr>
        <w:t>5</w:t>
      </w:r>
      <w:r w:rsidR="00352DD1" w:rsidRPr="00352DD1">
        <w:rPr>
          <w:rFonts w:ascii="宋体" w:hAnsi="宋体" w:hint="eastAsia"/>
          <w:sz w:val="24"/>
        </w:rPr>
        <w:t>年4月</w:t>
      </w:r>
      <w:r w:rsidR="00352DD1">
        <w:rPr>
          <w:rFonts w:ascii="宋体" w:hAnsi="宋体" w:hint="eastAsia"/>
          <w:sz w:val="24"/>
        </w:rPr>
        <w:t>29</w:t>
      </w:r>
      <w:r w:rsidR="00352DD1" w:rsidRPr="00352DD1">
        <w:rPr>
          <w:rFonts w:ascii="宋体" w:hAnsi="宋体" w:hint="eastAsia"/>
          <w:sz w:val="24"/>
        </w:rPr>
        <w:t>日召开第三届董事会第</w:t>
      </w:r>
      <w:r w:rsidR="00352DD1">
        <w:rPr>
          <w:rFonts w:ascii="宋体" w:hAnsi="宋体" w:hint="eastAsia"/>
          <w:sz w:val="24"/>
        </w:rPr>
        <w:t>二十</w:t>
      </w:r>
      <w:r w:rsidR="00352DD1" w:rsidRPr="00352DD1">
        <w:rPr>
          <w:rFonts w:ascii="宋体" w:hAnsi="宋体" w:hint="eastAsia"/>
          <w:sz w:val="24"/>
        </w:rPr>
        <w:t>次会议、第三届监事会第十</w:t>
      </w:r>
      <w:r w:rsidR="00352DD1">
        <w:rPr>
          <w:rFonts w:ascii="宋体" w:hAnsi="宋体" w:hint="eastAsia"/>
          <w:sz w:val="24"/>
        </w:rPr>
        <w:t>三</w:t>
      </w:r>
      <w:r w:rsidR="00352DD1" w:rsidRPr="00352DD1">
        <w:rPr>
          <w:rFonts w:ascii="宋体" w:hAnsi="宋体" w:hint="eastAsia"/>
          <w:sz w:val="24"/>
        </w:rPr>
        <w:t>次会议审议通过了《关于计提资产减值准备的议案》。根据外部环境的变化和公司的相关经营现状，为了更加客观、公正地反映公司的财务状况和资产价值，根据《企业会计准则第8号——资产减值》等相关规定，本着谨慎性原则，公司对截至202</w:t>
      </w:r>
      <w:r w:rsidR="00873276">
        <w:rPr>
          <w:rFonts w:ascii="宋体" w:hAnsi="宋体" w:hint="eastAsia"/>
          <w:sz w:val="24"/>
        </w:rPr>
        <w:t>4</w:t>
      </w:r>
      <w:r w:rsidR="00352DD1" w:rsidRPr="00352DD1">
        <w:rPr>
          <w:rFonts w:ascii="宋体" w:hAnsi="宋体" w:hint="eastAsia"/>
          <w:sz w:val="24"/>
        </w:rPr>
        <w:t>年12月31日合</w:t>
      </w:r>
      <w:r w:rsidR="0061687F">
        <w:rPr>
          <w:rFonts w:ascii="宋体" w:hAnsi="宋体" w:hint="eastAsia"/>
          <w:sz w:val="24"/>
        </w:rPr>
        <w:t>并报表范围内可能存在减值迹象的资产计提了减值准备。具体情况如下：</w:t>
      </w:r>
    </w:p>
    <w:p w14:paraId="000C0BEC" w14:textId="1F57C364" w:rsidR="00352DD1" w:rsidRPr="0061687F" w:rsidRDefault="00352DD1" w:rsidP="0061687F">
      <w:pPr>
        <w:pStyle w:val="Default"/>
        <w:spacing w:line="360" w:lineRule="auto"/>
        <w:ind w:firstLineChars="200" w:firstLine="482"/>
        <w:jc w:val="both"/>
        <w:rPr>
          <w:rFonts w:hAnsi="宋体"/>
          <w:b/>
        </w:rPr>
      </w:pPr>
      <w:r w:rsidRPr="0061687F">
        <w:rPr>
          <w:rFonts w:hAnsi="宋体" w:hint="eastAsia"/>
          <w:b/>
        </w:rPr>
        <w:t>一、资产减值准备计提概况</w:t>
      </w:r>
    </w:p>
    <w:p w14:paraId="693204F8" w14:textId="08869B8B" w:rsidR="00352DD1" w:rsidRPr="004673F8" w:rsidRDefault="00352DD1" w:rsidP="0061687F">
      <w:pPr>
        <w:pStyle w:val="Default"/>
        <w:spacing w:line="360" w:lineRule="auto"/>
        <w:ind w:firstLineChars="200" w:firstLine="480"/>
        <w:jc w:val="both"/>
        <w:rPr>
          <w:rFonts w:hAnsi="宋体"/>
        </w:rPr>
      </w:pPr>
      <w:r w:rsidRPr="004673F8">
        <w:rPr>
          <w:rFonts w:hAnsi="宋体"/>
        </w:rPr>
        <w:t>公司202</w:t>
      </w:r>
      <w:r w:rsidR="00873276">
        <w:rPr>
          <w:rFonts w:hAnsi="宋体" w:hint="eastAsia"/>
        </w:rPr>
        <w:t>4</w:t>
      </w:r>
      <w:r w:rsidRPr="004673F8">
        <w:rPr>
          <w:rFonts w:hAnsi="宋体"/>
        </w:rPr>
        <w:t>年度对相关资产计提减值准备总额</w:t>
      </w:r>
      <w:r w:rsidR="004C5CCD">
        <w:rPr>
          <w:rFonts w:hAnsi="宋体" w:hint="eastAsia"/>
        </w:rPr>
        <w:t>18</w:t>
      </w:r>
      <w:r w:rsidR="004C5CCD" w:rsidRPr="009C0FD8">
        <w:rPr>
          <w:rFonts w:hAnsi="宋体" w:hint="eastAsia"/>
        </w:rPr>
        <w:t>,</w:t>
      </w:r>
      <w:r w:rsidR="004C5CCD">
        <w:rPr>
          <w:rFonts w:hAnsi="宋体" w:hint="eastAsia"/>
        </w:rPr>
        <w:t>3</w:t>
      </w:r>
      <w:r w:rsidR="00E610C6">
        <w:rPr>
          <w:rFonts w:hAnsi="宋体" w:hint="eastAsia"/>
        </w:rPr>
        <w:t>51</w:t>
      </w:r>
      <w:r w:rsidR="004C5CCD">
        <w:rPr>
          <w:rFonts w:hAnsi="宋体" w:hint="eastAsia"/>
        </w:rPr>
        <w:t>.88</w:t>
      </w:r>
      <w:r w:rsidRPr="004673F8">
        <w:rPr>
          <w:rFonts w:hAnsi="宋体"/>
        </w:rPr>
        <w:t>万元，明细如下：</w:t>
      </w:r>
    </w:p>
    <w:p w14:paraId="3EF58CB1" w14:textId="77777777" w:rsidR="00352DD1" w:rsidRPr="004673F8" w:rsidRDefault="00352DD1" w:rsidP="00352DD1">
      <w:pPr>
        <w:pStyle w:val="Default"/>
        <w:spacing w:line="360" w:lineRule="auto"/>
        <w:jc w:val="right"/>
        <w:rPr>
          <w:rFonts w:hAnsi="宋体"/>
        </w:rPr>
      </w:pPr>
      <w:r w:rsidRPr="004673F8">
        <w:rPr>
          <w:rFonts w:hAnsi="宋体" w:hint="eastAsia"/>
        </w:rPr>
        <w:t>单位：万元</w:t>
      </w:r>
    </w:p>
    <w:tbl>
      <w:tblPr>
        <w:tblW w:w="8364" w:type="dxa"/>
        <w:tblInd w:w="108" w:type="dxa"/>
        <w:tblLook w:val="04A0" w:firstRow="1" w:lastRow="0" w:firstColumn="1" w:lastColumn="0" w:noHBand="0" w:noVBand="1"/>
      </w:tblPr>
      <w:tblGrid>
        <w:gridCol w:w="4962"/>
        <w:gridCol w:w="3402"/>
      </w:tblGrid>
      <w:tr w:rsidR="00352DD1" w:rsidRPr="004673F8" w14:paraId="5C4A5B89" w14:textId="77777777" w:rsidTr="00584FFB">
        <w:trPr>
          <w:trHeight w:val="63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3274F" w14:textId="77777777" w:rsidR="00352DD1" w:rsidRPr="004673F8" w:rsidRDefault="00352DD1" w:rsidP="00584FFB">
            <w:pPr>
              <w:widowControl/>
              <w:jc w:val="center"/>
              <w:rPr>
                <w:rFonts w:ascii="宋体" w:hAnsi="宋体" w:cs="宋体"/>
                <w:b/>
                <w:bCs/>
                <w:color w:val="000000"/>
                <w:kern w:val="0"/>
                <w:sz w:val="24"/>
              </w:rPr>
            </w:pPr>
            <w:r w:rsidRPr="004673F8">
              <w:rPr>
                <w:rFonts w:ascii="宋体" w:hAnsi="宋体" w:cs="宋体" w:hint="eastAsia"/>
                <w:b/>
                <w:bCs/>
                <w:color w:val="000000"/>
                <w:kern w:val="0"/>
                <w:sz w:val="24"/>
              </w:rPr>
              <w:t>项目</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78A7E6B3" w14:textId="77777777" w:rsidR="00352DD1" w:rsidRPr="004673F8" w:rsidRDefault="00352DD1" w:rsidP="00584FFB">
            <w:pPr>
              <w:widowControl/>
              <w:jc w:val="center"/>
              <w:rPr>
                <w:rFonts w:ascii="宋体" w:hAnsi="宋体" w:cs="宋体"/>
                <w:b/>
                <w:bCs/>
                <w:color w:val="000000"/>
                <w:kern w:val="0"/>
                <w:sz w:val="24"/>
              </w:rPr>
            </w:pPr>
            <w:r w:rsidRPr="004673F8">
              <w:rPr>
                <w:rFonts w:ascii="宋体" w:hAnsi="宋体" w:cs="宋体" w:hint="eastAsia"/>
                <w:b/>
                <w:bCs/>
                <w:color w:val="000000"/>
                <w:kern w:val="0"/>
                <w:sz w:val="24"/>
              </w:rPr>
              <w:t>计提减值金额</w:t>
            </w:r>
          </w:p>
        </w:tc>
      </w:tr>
      <w:tr w:rsidR="00352DD1" w:rsidRPr="004673F8" w14:paraId="1AD6D43C" w14:textId="77777777" w:rsidTr="00584FFB">
        <w:trPr>
          <w:trHeight w:val="63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BA67003" w14:textId="77777777" w:rsidR="00352DD1" w:rsidRPr="004673F8" w:rsidRDefault="00352DD1" w:rsidP="00584FFB">
            <w:pPr>
              <w:widowControl/>
              <w:jc w:val="left"/>
              <w:rPr>
                <w:rFonts w:ascii="宋体" w:hAnsi="宋体" w:cs="宋体"/>
                <w:color w:val="000000"/>
                <w:kern w:val="0"/>
                <w:sz w:val="24"/>
              </w:rPr>
            </w:pPr>
            <w:r w:rsidRPr="004673F8">
              <w:rPr>
                <w:rFonts w:ascii="宋体" w:hAnsi="宋体" w:cs="宋体" w:hint="eastAsia"/>
                <w:color w:val="000000"/>
                <w:kern w:val="0"/>
                <w:sz w:val="24"/>
              </w:rPr>
              <w:t>信用减值准备</w:t>
            </w:r>
          </w:p>
        </w:tc>
        <w:tc>
          <w:tcPr>
            <w:tcW w:w="3402" w:type="dxa"/>
            <w:tcBorders>
              <w:top w:val="nil"/>
              <w:left w:val="nil"/>
              <w:bottom w:val="single" w:sz="4" w:space="0" w:color="auto"/>
              <w:right w:val="single" w:sz="4" w:space="0" w:color="auto"/>
            </w:tcBorders>
            <w:shd w:val="clear" w:color="auto" w:fill="auto"/>
            <w:noWrap/>
            <w:vAlign w:val="center"/>
            <w:hideMark/>
          </w:tcPr>
          <w:p w14:paraId="2B23E361" w14:textId="49AADAA2" w:rsidR="00352DD1" w:rsidRPr="004673F8" w:rsidRDefault="00873276" w:rsidP="00584FFB">
            <w:pPr>
              <w:widowControl/>
              <w:jc w:val="center"/>
              <w:rPr>
                <w:rFonts w:ascii="宋体" w:hAnsi="宋体" w:cs="宋体"/>
                <w:color w:val="000000"/>
                <w:kern w:val="0"/>
                <w:sz w:val="24"/>
              </w:rPr>
            </w:pPr>
            <w:r>
              <w:rPr>
                <w:rFonts w:ascii="宋体" w:hAnsi="宋体" w:cs="宋体" w:hint="eastAsia"/>
                <w:color w:val="000000"/>
                <w:kern w:val="0"/>
                <w:sz w:val="24"/>
              </w:rPr>
              <w:t>363.62</w:t>
            </w:r>
          </w:p>
        </w:tc>
      </w:tr>
      <w:tr w:rsidR="00352DD1" w:rsidRPr="004673F8" w14:paraId="63FAAE2C" w14:textId="77777777" w:rsidTr="00584FFB">
        <w:trPr>
          <w:trHeight w:val="63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E98CD06" w14:textId="4206A7EB" w:rsidR="00352DD1" w:rsidRPr="004673F8" w:rsidRDefault="00352DD1" w:rsidP="00584FFB">
            <w:pPr>
              <w:widowControl/>
              <w:jc w:val="left"/>
              <w:rPr>
                <w:rFonts w:ascii="宋体" w:hAnsi="宋体" w:cs="宋体"/>
                <w:color w:val="000000"/>
                <w:kern w:val="0"/>
                <w:sz w:val="24"/>
              </w:rPr>
            </w:pPr>
            <w:r w:rsidRPr="004673F8">
              <w:rPr>
                <w:rFonts w:ascii="宋体" w:hAnsi="宋体" w:cs="宋体" w:hint="eastAsia"/>
                <w:color w:val="000000"/>
                <w:kern w:val="0"/>
                <w:sz w:val="24"/>
              </w:rPr>
              <w:t xml:space="preserve"> 其中：</w:t>
            </w:r>
            <w:r w:rsidR="0061687F">
              <w:rPr>
                <w:rFonts w:ascii="宋体" w:hAnsi="宋体" w:cs="宋体" w:hint="eastAsia"/>
                <w:color w:val="000000"/>
                <w:kern w:val="0"/>
                <w:sz w:val="24"/>
              </w:rPr>
              <w:t xml:space="preserve"> </w:t>
            </w:r>
            <w:r w:rsidRPr="004673F8">
              <w:rPr>
                <w:rFonts w:ascii="宋体" w:hAnsi="宋体" w:cs="宋体" w:hint="eastAsia"/>
                <w:color w:val="000000"/>
                <w:kern w:val="0"/>
                <w:sz w:val="24"/>
              </w:rPr>
              <w:t>应收账款坏账准备</w:t>
            </w:r>
          </w:p>
        </w:tc>
        <w:tc>
          <w:tcPr>
            <w:tcW w:w="3402" w:type="dxa"/>
            <w:tcBorders>
              <w:top w:val="nil"/>
              <w:left w:val="nil"/>
              <w:bottom w:val="single" w:sz="4" w:space="0" w:color="auto"/>
              <w:right w:val="single" w:sz="4" w:space="0" w:color="auto"/>
            </w:tcBorders>
            <w:shd w:val="clear" w:color="auto" w:fill="auto"/>
            <w:noWrap/>
            <w:vAlign w:val="center"/>
            <w:hideMark/>
          </w:tcPr>
          <w:p w14:paraId="06FE471C" w14:textId="0CD991C6" w:rsidR="00352DD1" w:rsidRPr="004673F8" w:rsidRDefault="00873276" w:rsidP="00584FFB">
            <w:pPr>
              <w:widowControl/>
              <w:jc w:val="center"/>
              <w:rPr>
                <w:rFonts w:ascii="宋体" w:hAnsi="宋体" w:cs="宋体"/>
                <w:color w:val="000000"/>
                <w:kern w:val="0"/>
                <w:sz w:val="24"/>
              </w:rPr>
            </w:pPr>
            <w:r>
              <w:rPr>
                <w:rFonts w:ascii="宋体" w:hAnsi="宋体" w:cs="宋体" w:hint="eastAsia"/>
                <w:color w:val="000000"/>
                <w:kern w:val="0"/>
                <w:sz w:val="24"/>
              </w:rPr>
              <w:t>298.88</w:t>
            </w:r>
          </w:p>
        </w:tc>
      </w:tr>
      <w:tr w:rsidR="00352DD1" w:rsidRPr="004673F8" w14:paraId="18100827" w14:textId="77777777" w:rsidTr="00584FFB">
        <w:trPr>
          <w:trHeight w:val="63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2F8C63F" w14:textId="1D4A2F56" w:rsidR="00352DD1" w:rsidRPr="004673F8" w:rsidRDefault="0061687F" w:rsidP="00584FFB">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 xml:space="preserve"> </w:t>
            </w:r>
            <w:r w:rsidR="00352DD1" w:rsidRPr="004673F8">
              <w:rPr>
                <w:rFonts w:ascii="宋体" w:hAnsi="宋体" w:cs="宋体" w:hint="eastAsia"/>
                <w:color w:val="000000"/>
                <w:kern w:val="0"/>
                <w:sz w:val="24"/>
              </w:rPr>
              <w:t>其他应收款坏账准备</w:t>
            </w:r>
          </w:p>
        </w:tc>
        <w:tc>
          <w:tcPr>
            <w:tcW w:w="3402" w:type="dxa"/>
            <w:tcBorders>
              <w:top w:val="nil"/>
              <w:left w:val="nil"/>
              <w:bottom w:val="single" w:sz="4" w:space="0" w:color="auto"/>
              <w:right w:val="single" w:sz="4" w:space="0" w:color="auto"/>
            </w:tcBorders>
            <w:shd w:val="clear" w:color="auto" w:fill="auto"/>
            <w:noWrap/>
            <w:vAlign w:val="center"/>
            <w:hideMark/>
          </w:tcPr>
          <w:p w14:paraId="3CDA26D2" w14:textId="63472321" w:rsidR="00352DD1" w:rsidRPr="004673F8" w:rsidRDefault="00873276" w:rsidP="00584FFB">
            <w:pPr>
              <w:widowControl/>
              <w:jc w:val="center"/>
              <w:rPr>
                <w:rFonts w:ascii="宋体" w:hAnsi="宋体" w:cs="宋体"/>
                <w:color w:val="000000"/>
                <w:kern w:val="0"/>
                <w:sz w:val="24"/>
              </w:rPr>
            </w:pPr>
            <w:r>
              <w:rPr>
                <w:rFonts w:ascii="宋体" w:hAnsi="宋体" w:cs="宋体" w:hint="eastAsia"/>
                <w:color w:val="000000"/>
                <w:kern w:val="0"/>
                <w:sz w:val="24"/>
              </w:rPr>
              <w:t>64.74</w:t>
            </w:r>
          </w:p>
        </w:tc>
      </w:tr>
      <w:tr w:rsidR="00352DD1" w:rsidRPr="004673F8" w14:paraId="4F66635C" w14:textId="77777777" w:rsidTr="00584FFB">
        <w:trPr>
          <w:trHeight w:val="63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A158D0C" w14:textId="77777777" w:rsidR="00352DD1" w:rsidRPr="004673F8" w:rsidRDefault="00352DD1" w:rsidP="00584FFB">
            <w:pPr>
              <w:widowControl/>
              <w:jc w:val="left"/>
              <w:rPr>
                <w:rFonts w:ascii="宋体" w:hAnsi="宋体" w:cs="宋体"/>
                <w:color w:val="000000"/>
                <w:kern w:val="0"/>
                <w:sz w:val="24"/>
              </w:rPr>
            </w:pPr>
            <w:r w:rsidRPr="004673F8">
              <w:rPr>
                <w:rFonts w:ascii="宋体" w:hAnsi="宋体" w:cs="宋体" w:hint="eastAsia"/>
                <w:color w:val="000000"/>
                <w:kern w:val="0"/>
                <w:sz w:val="24"/>
              </w:rPr>
              <w:t>资产减值准备</w:t>
            </w:r>
          </w:p>
        </w:tc>
        <w:tc>
          <w:tcPr>
            <w:tcW w:w="3402" w:type="dxa"/>
            <w:tcBorders>
              <w:top w:val="nil"/>
              <w:left w:val="nil"/>
              <w:bottom w:val="single" w:sz="4" w:space="0" w:color="auto"/>
              <w:right w:val="single" w:sz="4" w:space="0" w:color="auto"/>
            </w:tcBorders>
            <w:shd w:val="clear" w:color="auto" w:fill="auto"/>
            <w:noWrap/>
            <w:vAlign w:val="center"/>
            <w:hideMark/>
          </w:tcPr>
          <w:p w14:paraId="67D0C6C5" w14:textId="37488B03" w:rsidR="00352DD1" w:rsidRPr="009C0FD8" w:rsidRDefault="00E06DF6" w:rsidP="00584FFB">
            <w:pPr>
              <w:widowControl/>
              <w:jc w:val="center"/>
              <w:rPr>
                <w:rFonts w:ascii="宋体" w:hAnsi="宋体" w:cs="宋体"/>
                <w:color w:val="000000"/>
                <w:kern w:val="0"/>
                <w:sz w:val="24"/>
                <w:highlight w:val="yellow"/>
              </w:rPr>
            </w:pPr>
            <w:r>
              <w:rPr>
                <w:rFonts w:ascii="宋体" w:hAnsi="宋体" w:cs="宋体" w:hint="eastAsia"/>
                <w:color w:val="000000"/>
                <w:kern w:val="0"/>
                <w:sz w:val="24"/>
              </w:rPr>
              <w:t>1</w:t>
            </w:r>
            <w:r w:rsidR="00D92556">
              <w:rPr>
                <w:rFonts w:ascii="宋体" w:hAnsi="宋体" w:cs="宋体" w:hint="eastAsia"/>
                <w:color w:val="000000"/>
                <w:kern w:val="0"/>
                <w:sz w:val="24"/>
              </w:rPr>
              <w:t>7</w:t>
            </w:r>
            <w:r w:rsidRPr="009C0FD8">
              <w:rPr>
                <w:rFonts w:ascii="宋体" w:hAnsi="宋体" w:cs="宋体" w:hint="eastAsia"/>
                <w:color w:val="000000"/>
                <w:kern w:val="0"/>
                <w:sz w:val="24"/>
              </w:rPr>
              <w:t>,</w:t>
            </w:r>
            <w:r w:rsidR="00D92556">
              <w:rPr>
                <w:rFonts w:ascii="宋体" w:hAnsi="宋体" w:cs="宋体" w:hint="eastAsia"/>
                <w:color w:val="000000"/>
                <w:kern w:val="0"/>
                <w:sz w:val="24"/>
              </w:rPr>
              <w:t>988</w:t>
            </w:r>
            <w:r>
              <w:rPr>
                <w:rFonts w:ascii="宋体" w:hAnsi="宋体" w:cs="宋体" w:hint="eastAsia"/>
                <w:color w:val="000000"/>
                <w:kern w:val="0"/>
                <w:sz w:val="24"/>
              </w:rPr>
              <w:t>.26</w:t>
            </w:r>
          </w:p>
        </w:tc>
      </w:tr>
      <w:tr w:rsidR="00352DD1" w:rsidRPr="004673F8" w14:paraId="42B5CA0B" w14:textId="77777777" w:rsidTr="00584FFB">
        <w:trPr>
          <w:trHeight w:val="63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5FE9A90" w14:textId="422B96EF" w:rsidR="00352DD1" w:rsidRPr="004673F8" w:rsidRDefault="00352DD1" w:rsidP="00584FFB">
            <w:pPr>
              <w:widowControl/>
              <w:jc w:val="left"/>
              <w:rPr>
                <w:rFonts w:ascii="宋体" w:hAnsi="宋体" w:cs="宋体"/>
                <w:color w:val="000000"/>
                <w:kern w:val="0"/>
                <w:sz w:val="24"/>
              </w:rPr>
            </w:pPr>
            <w:r w:rsidRPr="004673F8">
              <w:rPr>
                <w:rFonts w:ascii="宋体" w:hAnsi="宋体" w:cs="宋体" w:hint="eastAsia"/>
                <w:color w:val="000000"/>
                <w:kern w:val="0"/>
                <w:sz w:val="24"/>
              </w:rPr>
              <w:t xml:space="preserve"> 其中：</w:t>
            </w:r>
            <w:r w:rsidR="0061687F">
              <w:rPr>
                <w:rFonts w:ascii="宋体" w:hAnsi="宋体" w:cs="宋体" w:hint="eastAsia"/>
                <w:color w:val="000000"/>
                <w:kern w:val="0"/>
                <w:sz w:val="24"/>
              </w:rPr>
              <w:t xml:space="preserve"> </w:t>
            </w:r>
            <w:r w:rsidRPr="004673F8">
              <w:rPr>
                <w:rFonts w:ascii="宋体" w:hAnsi="宋体" w:cs="宋体" w:hint="eastAsia"/>
                <w:color w:val="000000"/>
                <w:kern w:val="0"/>
                <w:sz w:val="24"/>
              </w:rPr>
              <w:t>存货跌价准备</w:t>
            </w:r>
          </w:p>
        </w:tc>
        <w:tc>
          <w:tcPr>
            <w:tcW w:w="3402" w:type="dxa"/>
            <w:tcBorders>
              <w:top w:val="nil"/>
              <w:left w:val="nil"/>
              <w:bottom w:val="single" w:sz="4" w:space="0" w:color="auto"/>
              <w:right w:val="single" w:sz="4" w:space="0" w:color="auto"/>
            </w:tcBorders>
            <w:shd w:val="clear" w:color="auto" w:fill="auto"/>
            <w:noWrap/>
            <w:vAlign w:val="center"/>
            <w:hideMark/>
          </w:tcPr>
          <w:p w14:paraId="337C4D7F" w14:textId="1ED7720D" w:rsidR="00352DD1" w:rsidRPr="004673F8" w:rsidRDefault="00873276" w:rsidP="00584FFB">
            <w:pPr>
              <w:widowControl/>
              <w:jc w:val="center"/>
              <w:rPr>
                <w:rFonts w:ascii="宋体" w:hAnsi="宋体" w:cs="宋体"/>
                <w:color w:val="000000"/>
                <w:kern w:val="0"/>
                <w:sz w:val="24"/>
              </w:rPr>
            </w:pPr>
            <w:r>
              <w:rPr>
                <w:rFonts w:ascii="宋体" w:hAnsi="宋体" w:cs="宋体" w:hint="eastAsia"/>
                <w:color w:val="000000"/>
                <w:kern w:val="0"/>
                <w:sz w:val="24"/>
              </w:rPr>
              <w:t>248.70</w:t>
            </w:r>
          </w:p>
        </w:tc>
      </w:tr>
      <w:tr w:rsidR="00352DD1" w:rsidRPr="004673F8" w14:paraId="017D04A9" w14:textId="77777777" w:rsidTr="00584FFB">
        <w:trPr>
          <w:trHeight w:val="63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314D7B8" w14:textId="263108CE" w:rsidR="00352DD1" w:rsidRPr="004673F8" w:rsidRDefault="0061687F" w:rsidP="00584FFB">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 xml:space="preserve"> </w:t>
            </w:r>
            <w:r w:rsidR="00352DD1" w:rsidRPr="009C0FD8">
              <w:rPr>
                <w:rFonts w:ascii="宋体" w:hAnsi="宋体" w:cs="宋体" w:hint="eastAsia"/>
                <w:color w:val="000000"/>
                <w:kern w:val="0"/>
                <w:sz w:val="24"/>
              </w:rPr>
              <w:t>长期股权投资减值</w:t>
            </w:r>
            <w:r w:rsidR="00352DD1">
              <w:rPr>
                <w:rFonts w:ascii="宋体" w:hAnsi="宋体" w:cs="宋体" w:hint="eastAsia"/>
                <w:color w:val="000000"/>
                <w:kern w:val="0"/>
                <w:sz w:val="24"/>
              </w:rPr>
              <w:t>准备</w:t>
            </w:r>
          </w:p>
        </w:tc>
        <w:tc>
          <w:tcPr>
            <w:tcW w:w="3402" w:type="dxa"/>
            <w:tcBorders>
              <w:top w:val="nil"/>
              <w:left w:val="nil"/>
              <w:bottom w:val="single" w:sz="4" w:space="0" w:color="auto"/>
              <w:right w:val="single" w:sz="4" w:space="0" w:color="auto"/>
            </w:tcBorders>
            <w:shd w:val="clear" w:color="auto" w:fill="auto"/>
            <w:noWrap/>
            <w:vAlign w:val="center"/>
            <w:hideMark/>
          </w:tcPr>
          <w:p w14:paraId="61A491DF" w14:textId="43096C37" w:rsidR="00352DD1" w:rsidRPr="009C0FD8" w:rsidRDefault="00873276" w:rsidP="00584FFB">
            <w:pPr>
              <w:widowControl/>
              <w:jc w:val="center"/>
              <w:rPr>
                <w:color w:val="000000"/>
                <w:kern w:val="0"/>
                <w:sz w:val="24"/>
              </w:rPr>
            </w:pPr>
            <w:r>
              <w:rPr>
                <w:rFonts w:ascii="宋体" w:hAnsi="宋体" w:cs="宋体" w:hint="eastAsia"/>
                <w:color w:val="000000"/>
                <w:kern w:val="0"/>
                <w:sz w:val="24"/>
              </w:rPr>
              <w:t>13</w:t>
            </w:r>
            <w:r w:rsidR="00352DD1" w:rsidRPr="009C0FD8">
              <w:rPr>
                <w:rFonts w:ascii="宋体" w:hAnsi="宋体" w:cs="宋体" w:hint="eastAsia"/>
                <w:color w:val="000000"/>
                <w:kern w:val="0"/>
                <w:sz w:val="24"/>
              </w:rPr>
              <w:t>,</w:t>
            </w:r>
            <w:r>
              <w:rPr>
                <w:rFonts w:ascii="宋体" w:hAnsi="宋体" w:cs="宋体" w:hint="eastAsia"/>
                <w:color w:val="000000"/>
                <w:kern w:val="0"/>
                <w:sz w:val="24"/>
              </w:rPr>
              <w:t>7</w:t>
            </w:r>
            <w:r w:rsidR="00E06DF6">
              <w:rPr>
                <w:rFonts w:ascii="宋体" w:hAnsi="宋体" w:cs="宋体" w:hint="eastAsia"/>
                <w:color w:val="000000"/>
                <w:kern w:val="0"/>
                <w:sz w:val="24"/>
              </w:rPr>
              <w:t>77</w:t>
            </w:r>
            <w:r>
              <w:rPr>
                <w:rFonts w:ascii="宋体" w:hAnsi="宋体" w:cs="宋体" w:hint="eastAsia"/>
                <w:color w:val="000000"/>
                <w:kern w:val="0"/>
                <w:sz w:val="24"/>
              </w:rPr>
              <w:t>.</w:t>
            </w:r>
            <w:r w:rsidR="00E06DF6">
              <w:rPr>
                <w:rFonts w:ascii="宋体" w:hAnsi="宋体" w:cs="宋体" w:hint="eastAsia"/>
                <w:color w:val="000000"/>
                <w:kern w:val="0"/>
                <w:sz w:val="24"/>
              </w:rPr>
              <w:t>56</w:t>
            </w:r>
          </w:p>
        </w:tc>
      </w:tr>
      <w:tr w:rsidR="00873276" w:rsidRPr="004673F8" w14:paraId="64E4780C" w14:textId="77777777" w:rsidTr="0061687F">
        <w:trPr>
          <w:trHeight w:val="630"/>
        </w:trPr>
        <w:tc>
          <w:tcPr>
            <w:tcW w:w="4962" w:type="dxa"/>
            <w:tcBorders>
              <w:top w:val="nil"/>
              <w:left w:val="single" w:sz="4" w:space="0" w:color="auto"/>
              <w:bottom w:val="single" w:sz="4" w:space="0" w:color="auto"/>
              <w:right w:val="single" w:sz="4" w:space="0" w:color="auto"/>
            </w:tcBorders>
            <w:shd w:val="clear" w:color="auto" w:fill="auto"/>
            <w:noWrap/>
            <w:vAlign w:val="center"/>
          </w:tcPr>
          <w:p w14:paraId="35AC8873" w14:textId="4DA082C4" w:rsidR="00873276" w:rsidRPr="004673F8" w:rsidRDefault="00873276" w:rsidP="0061687F">
            <w:pPr>
              <w:widowControl/>
              <w:ind w:firstLineChars="400" w:firstLine="960"/>
              <w:jc w:val="left"/>
              <w:rPr>
                <w:rFonts w:ascii="宋体" w:hAnsi="宋体" w:cs="宋体"/>
                <w:color w:val="000000"/>
                <w:kern w:val="0"/>
                <w:sz w:val="24"/>
              </w:rPr>
            </w:pPr>
            <w:r>
              <w:rPr>
                <w:rFonts w:ascii="宋体" w:hAnsi="宋体" w:cs="宋体" w:hint="eastAsia"/>
                <w:color w:val="000000"/>
                <w:kern w:val="0"/>
                <w:sz w:val="24"/>
              </w:rPr>
              <w:t>商誉减值准备</w:t>
            </w:r>
          </w:p>
        </w:tc>
        <w:tc>
          <w:tcPr>
            <w:tcW w:w="3402" w:type="dxa"/>
            <w:tcBorders>
              <w:top w:val="nil"/>
              <w:left w:val="nil"/>
              <w:bottom w:val="single" w:sz="4" w:space="0" w:color="auto"/>
              <w:right w:val="single" w:sz="4" w:space="0" w:color="auto"/>
            </w:tcBorders>
            <w:shd w:val="clear" w:color="auto" w:fill="auto"/>
            <w:noWrap/>
            <w:vAlign w:val="center"/>
          </w:tcPr>
          <w:p w14:paraId="36FB61D2" w14:textId="69EE6E20" w:rsidR="00873276" w:rsidRDefault="00873276" w:rsidP="00584FFB">
            <w:pPr>
              <w:widowControl/>
              <w:jc w:val="center"/>
              <w:rPr>
                <w:rFonts w:ascii="宋体" w:hAnsi="宋体" w:cs="宋体"/>
                <w:color w:val="000000"/>
                <w:kern w:val="0"/>
                <w:sz w:val="24"/>
              </w:rPr>
            </w:pPr>
            <w:r>
              <w:rPr>
                <w:rFonts w:ascii="宋体" w:hAnsi="宋体" w:cs="宋体" w:hint="eastAsia"/>
                <w:color w:val="000000"/>
                <w:kern w:val="0"/>
                <w:sz w:val="24"/>
              </w:rPr>
              <w:t>3,9</w:t>
            </w:r>
            <w:r w:rsidR="00D92556">
              <w:rPr>
                <w:rFonts w:ascii="宋体" w:hAnsi="宋体" w:cs="宋体" w:hint="eastAsia"/>
                <w:color w:val="000000"/>
                <w:kern w:val="0"/>
                <w:sz w:val="24"/>
              </w:rPr>
              <w:t>62</w:t>
            </w:r>
            <w:r>
              <w:rPr>
                <w:rFonts w:ascii="宋体" w:hAnsi="宋体" w:cs="宋体" w:hint="eastAsia"/>
                <w:color w:val="000000"/>
                <w:kern w:val="0"/>
                <w:sz w:val="24"/>
              </w:rPr>
              <w:t>.00</w:t>
            </w:r>
          </w:p>
        </w:tc>
      </w:tr>
      <w:tr w:rsidR="00352DD1" w:rsidRPr="004673F8" w14:paraId="4510F341" w14:textId="77777777" w:rsidTr="0061687F">
        <w:trPr>
          <w:trHeight w:val="63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88968" w14:textId="77777777" w:rsidR="00352DD1" w:rsidRPr="004673F8" w:rsidRDefault="00352DD1" w:rsidP="00584FFB">
            <w:pPr>
              <w:widowControl/>
              <w:jc w:val="center"/>
              <w:rPr>
                <w:rFonts w:ascii="宋体" w:hAnsi="宋体" w:cs="宋体"/>
                <w:b/>
                <w:bCs/>
                <w:color w:val="000000"/>
                <w:kern w:val="0"/>
                <w:sz w:val="24"/>
              </w:rPr>
            </w:pPr>
            <w:r w:rsidRPr="004673F8">
              <w:rPr>
                <w:rFonts w:ascii="宋体" w:hAnsi="宋体" w:cs="宋体" w:hint="eastAsia"/>
                <w:b/>
                <w:bCs/>
                <w:color w:val="000000"/>
                <w:kern w:val="0"/>
                <w:sz w:val="24"/>
              </w:rPr>
              <w:lastRenderedPageBreak/>
              <w:t>合计</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C3599" w14:textId="5EBC3711" w:rsidR="00352DD1" w:rsidRPr="009C0FD8" w:rsidRDefault="00873276" w:rsidP="00584FFB">
            <w:pPr>
              <w:widowControl/>
              <w:jc w:val="center"/>
              <w:rPr>
                <w:rFonts w:ascii="宋体" w:hAnsi="宋体" w:cs="宋体"/>
                <w:color w:val="000000"/>
                <w:kern w:val="0"/>
                <w:sz w:val="24"/>
                <w:highlight w:val="yellow"/>
              </w:rPr>
            </w:pPr>
            <w:r>
              <w:rPr>
                <w:rFonts w:ascii="宋体" w:hAnsi="宋体" w:cs="宋体" w:hint="eastAsia"/>
                <w:color w:val="000000"/>
                <w:kern w:val="0"/>
                <w:sz w:val="24"/>
              </w:rPr>
              <w:t>18</w:t>
            </w:r>
            <w:r w:rsidR="00352DD1" w:rsidRPr="009C0FD8">
              <w:rPr>
                <w:rFonts w:ascii="宋体" w:hAnsi="宋体" w:cs="宋体" w:hint="eastAsia"/>
                <w:color w:val="000000"/>
                <w:kern w:val="0"/>
                <w:sz w:val="24"/>
              </w:rPr>
              <w:t>,</w:t>
            </w:r>
            <w:r w:rsidR="00E06DF6">
              <w:rPr>
                <w:rFonts w:ascii="宋体" w:hAnsi="宋体" w:cs="宋体" w:hint="eastAsia"/>
                <w:color w:val="000000"/>
                <w:kern w:val="0"/>
                <w:sz w:val="24"/>
              </w:rPr>
              <w:t>3</w:t>
            </w:r>
            <w:r w:rsidR="00D92556">
              <w:rPr>
                <w:rFonts w:ascii="宋体" w:hAnsi="宋体" w:cs="宋体" w:hint="eastAsia"/>
                <w:color w:val="000000"/>
                <w:kern w:val="0"/>
                <w:sz w:val="24"/>
              </w:rPr>
              <w:t>51</w:t>
            </w:r>
            <w:r w:rsidR="00E06DF6">
              <w:rPr>
                <w:rFonts w:ascii="宋体" w:hAnsi="宋体" w:cs="宋体" w:hint="eastAsia"/>
                <w:color w:val="000000"/>
                <w:kern w:val="0"/>
                <w:sz w:val="24"/>
              </w:rPr>
              <w:t>.88</w:t>
            </w:r>
          </w:p>
        </w:tc>
      </w:tr>
    </w:tbl>
    <w:p w14:paraId="3650DD71" w14:textId="375D5822" w:rsidR="00352DD1" w:rsidRPr="00666A76" w:rsidRDefault="001B72FF" w:rsidP="0061687F">
      <w:pPr>
        <w:pStyle w:val="Default"/>
        <w:spacing w:line="360" w:lineRule="auto"/>
        <w:ind w:firstLineChars="200" w:firstLine="482"/>
        <w:rPr>
          <w:rFonts w:hAnsi="宋体"/>
          <w:b/>
        </w:rPr>
      </w:pPr>
      <w:r>
        <w:rPr>
          <w:rFonts w:hAnsi="宋体" w:hint="eastAsia"/>
          <w:b/>
        </w:rPr>
        <w:t>二、</w:t>
      </w:r>
      <w:r w:rsidR="00352DD1" w:rsidRPr="00666A76">
        <w:rPr>
          <w:rFonts w:hAnsi="宋体" w:hint="eastAsia"/>
          <w:b/>
        </w:rPr>
        <w:t>各项资产项目计提具体情况</w:t>
      </w:r>
    </w:p>
    <w:p w14:paraId="574C0B85" w14:textId="6B5C4B71" w:rsidR="00352DD1" w:rsidRPr="004673F8" w:rsidRDefault="00352DD1" w:rsidP="001B72FF">
      <w:pPr>
        <w:pStyle w:val="Default"/>
        <w:spacing w:line="360" w:lineRule="auto"/>
        <w:ind w:firstLineChars="200" w:firstLine="480"/>
        <w:jc w:val="both"/>
        <w:rPr>
          <w:rFonts w:hAnsi="宋体"/>
        </w:rPr>
      </w:pPr>
      <w:r w:rsidRPr="004673F8">
        <w:rPr>
          <w:rFonts w:hAnsi="宋体" w:hint="eastAsia"/>
        </w:rPr>
        <w:t>（一）</w:t>
      </w:r>
      <w:r w:rsidRPr="004673F8">
        <w:rPr>
          <w:rFonts w:hAnsi="宋体"/>
        </w:rPr>
        <w:t>202</w:t>
      </w:r>
      <w:r w:rsidR="00873276">
        <w:rPr>
          <w:rFonts w:hAnsi="宋体" w:hint="eastAsia"/>
        </w:rPr>
        <w:t>4</w:t>
      </w:r>
      <w:r w:rsidRPr="004673F8">
        <w:rPr>
          <w:rFonts w:hAnsi="宋体" w:hint="eastAsia"/>
        </w:rPr>
        <w:t>年公司计提信用减值准备</w:t>
      </w:r>
      <w:r w:rsidR="00873276">
        <w:rPr>
          <w:rFonts w:hAnsi="宋体" w:hint="eastAsia"/>
        </w:rPr>
        <w:t>363.62</w:t>
      </w:r>
      <w:r w:rsidRPr="004673F8">
        <w:rPr>
          <w:rFonts w:hAnsi="宋体" w:hint="eastAsia"/>
        </w:rPr>
        <w:t>万元，其中，计提应收账款坏账准备</w:t>
      </w:r>
      <w:r w:rsidR="00873276">
        <w:rPr>
          <w:rFonts w:hAnsi="宋体" w:hint="eastAsia"/>
        </w:rPr>
        <w:t>298.88</w:t>
      </w:r>
      <w:r w:rsidRPr="004673F8">
        <w:rPr>
          <w:rFonts w:hAnsi="宋体" w:hint="eastAsia"/>
        </w:rPr>
        <w:t>万元，计提其他应收款坏账准备</w:t>
      </w:r>
      <w:r w:rsidR="00873276">
        <w:rPr>
          <w:rFonts w:hAnsi="宋体" w:hint="eastAsia"/>
        </w:rPr>
        <w:t>64.74</w:t>
      </w:r>
      <w:r w:rsidRPr="004673F8">
        <w:rPr>
          <w:rFonts w:hAnsi="宋体" w:hint="eastAsia"/>
        </w:rPr>
        <w:t>万元。</w:t>
      </w:r>
    </w:p>
    <w:p w14:paraId="1B62D47F" w14:textId="20DED87B" w:rsidR="00352DD1" w:rsidRPr="009C0FD8" w:rsidRDefault="00352DD1" w:rsidP="00352DD1">
      <w:pPr>
        <w:pStyle w:val="Default"/>
        <w:spacing w:line="360" w:lineRule="auto"/>
        <w:ind w:firstLineChars="200" w:firstLine="480"/>
        <w:rPr>
          <w:rFonts w:hAnsi="宋体"/>
        </w:rPr>
      </w:pPr>
      <w:r w:rsidRPr="009C0FD8">
        <w:rPr>
          <w:rFonts w:hAnsi="宋体"/>
        </w:rPr>
        <w:t>1</w:t>
      </w:r>
      <w:r w:rsidRPr="009C0FD8">
        <w:rPr>
          <w:rFonts w:hAnsi="宋体" w:hint="eastAsia"/>
        </w:rPr>
        <w:t>、计提应收账款坏账准备</w:t>
      </w:r>
      <w:r w:rsidR="00873276">
        <w:rPr>
          <w:rFonts w:hAnsi="宋体" w:hint="eastAsia"/>
        </w:rPr>
        <w:t>298.88</w:t>
      </w:r>
      <w:r w:rsidR="001B72FF">
        <w:rPr>
          <w:rFonts w:hAnsi="宋体" w:hint="eastAsia"/>
        </w:rPr>
        <w:t>万元</w:t>
      </w:r>
    </w:p>
    <w:p w14:paraId="751D3554" w14:textId="648DF023" w:rsidR="00767BE2" w:rsidRDefault="001B72FF" w:rsidP="00830E88">
      <w:pPr>
        <w:widowControl/>
        <w:spacing w:line="360" w:lineRule="auto"/>
        <w:ind w:firstLineChars="200" w:firstLine="480"/>
        <w:rPr>
          <w:rFonts w:ascii="宋体" w:hAnsi="宋体"/>
          <w:sz w:val="24"/>
        </w:rPr>
      </w:pPr>
      <w:r>
        <w:rPr>
          <w:rFonts w:ascii="宋体" w:hAnsi="宋体" w:hint="eastAsia"/>
          <w:sz w:val="24"/>
        </w:rPr>
        <w:t>（</w:t>
      </w:r>
      <w:r w:rsidR="00767BE2" w:rsidRPr="001B72FF">
        <w:rPr>
          <w:rFonts w:ascii="宋体" w:hAnsi="宋体"/>
          <w:sz w:val="24"/>
        </w:rPr>
        <w:t>1</w:t>
      </w:r>
      <w:r w:rsidR="00767BE2" w:rsidRPr="001B72FF">
        <w:rPr>
          <w:rFonts w:ascii="宋体" w:hAnsi="宋体" w:hint="eastAsia"/>
          <w:sz w:val="24"/>
        </w:rPr>
        <w:t>）</w:t>
      </w:r>
      <w:r w:rsidR="006D2867">
        <w:rPr>
          <w:rFonts w:ascii="宋体" w:hAnsi="宋体" w:hint="eastAsia"/>
          <w:sz w:val="24"/>
        </w:rPr>
        <w:t>公司对按账龄组合计提坏账准备的应收账款，</w:t>
      </w:r>
      <w:r w:rsidR="00352DD1" w:rsidRPr="009C0FD8">
        <w:rPr>
          <w:rFonts w:ascii="宋体" w:hAnsi="宋体" w:hint="eastAsia"/>
          <w:sz w:val="24"/>
        </w:rPr>
        <w:t>期末应</w:t>
      </w:r>
      <w:r w:rsidR="00767BE2">
        <w:rPr>
          <w:rFonts w:ascii="宋体" w:hAnsi="宋体" w:hint="eastAsia"/>
          <w:sz w:val="24"/>
        </w:rPr>
        <w:t>计提</w:t>
      </w:r>
      <w:r w:rsidR="00352DD1" w:rsidRPr="009C0FD8">
        <w:rPr>
          <w:rFonts w:ascii="宋体" w:hAnsi="宋体" w:hint="eastAsia"/>
          <w:sz w:val="24"/>
        </w:rPr>
        <w:t>坏账准备</w:t>
      </w:r>
      <w:r w:rsidR="00352DD1" w:rsidRPr="009C0FD8">
        <w:rPr>
          <w:rFonts w:ascii="宋体" w:hAnsi="宋体" w:cs="宋体"/>
          <w:color w:val="000000"/>
          <w:kern w:val="0"/>
          <w:sz w:val="24"/>
        </w:rPr>
        <w:t>1,</w:t>
      </w:r>
      <w:r w:rsidR="00873276">
        <w:rPr>
          <w:rFonts w:ascii="宋体" w:hAnsi="宋体" w:cs="宋体" w:hint="eastAsia"/>
          <w:color w:val="000000"/>
          <w:kern w:val="0"/>
          <w:sz w:val="24"/>
        </w:rPr>
        <w:t>317</w:t>
      </w:r>
      <w:r w:rsidR="00352DD1" w:rsidRPr="009C0FD8">
        <w:rPr>
          <w:rFonts w:ascii="宋体" w:hAnsi="宋体" w:cs="宋体"/>
          <w:color w:val="000000"/>
          <w:kern w:val="0"/>
          <w:sz w:val="24"/>
        </w:rPr>
        <w:t>.</w:t>
      </w:r>
      <w:r w:rsidR="00873276">
        <w:rPr>
          <w:rFonts w:ascii="宋体" w:hAnsi="宋体" w:cs="宋体" w:hint="eastAsia"/>
          <w:color w:val="000000"/>
          <w:kern w:val="0"/>
          <w:sz w:val="24"/>
        </w:rPr>
        <w:t>13</w:t>
      </w:r>
      <w:r w:rsidR="00352DD1" w:rsidRPr="009C0FD8">
        <w:rPr>
          <w:rFonts w:ascii="宋体" w:hAnsi="宋体" w:hint="eastAsia"/>
          <w:sz w:val="24"/>
        </w:rPr>
        <w:t>万元，</w:t>
      </w:r>
      <w:r w:rsidR="00767BE2" w:rsidRPr="009D7C34">
        <w:rPr>
          <w:rFonts w:ascii="宋体" w:hAnsi="宋体" w:hint="eastAsia"/>
          <w:sz w:val="24"/>
        </w:rPr>
        <w:t>抵减</w:t>
      </w:r>
      <w:r w:rsidR="00352DD1" w:rsidRPr="009C0FD8">
        <w:rPr>
          <w:rFonts w:ascii="宋体" w:hAnsi="宋体" w:hint="eastAsia"/>
          <w:sz w:val="24"/>
        </w:rPr>
        <w:t>年初坏账准备余额</w:t>
      </w:r>
      <w:r w:rsidR="00873276">
        <w:rPr>
          <w:rFonts w:ascii="宋体" w:hAnsi="宋体" w:hint="eastAsia"/>
          <w:sz w:val="24"/>
        </w:rPr>
        <w:t>1,045.86</w:t>
      </w:r>
      <w:r w:rsidR="00830E88">
        <w:rPr>
          <w:rFonts w:ascii="宋体" w:hAnsi="宋体" w:hint="eastAsia"/>
          <w:sz w:val="24"/>
        </w:rPr>
        <w:t>万元、善恩康并表</w:t>
      </w:r>
      <w:r w:rsidR="00F64E11">
        <w:rPr>
          <w:rFonts w:ascii="宋体" w:hAnsi="宋体" w:hint="eastAsia"/>
          <w:sz w:val="24"/>
        </w:rPr>
        <w:t>新增21.21</w:t>
      </w:r>
      <w:r w:rsidR="00830E88">
        <w:rPr>
          <w:rFonts w:ascii="宋体" w:hAnsi="宋体" w:hint="eastAsia"/>
          <w:sz w:val="24"/>
        </w:rPr>
        <w:t>万元</w:t>
      </w:r>
      <w:r w:rsidR="00F64E11">
        <w:rPr>
          <w:rFonts w:ascii="宋体" w:hAnsi="宋体" w:hint="eastAsia"/>
          <w:sz w:val="24"/>
        </w:rPr>
        <w:t>，</w:t>
      </w:r>
      <w:r w:rsidR="00352DD1" w:rsidRPr="009C0FD8">
        <w:rPr>
          <w:rFonts w:ascii="宋体" w:hAnsi="宋体" w:hint="eastAsia"/>
          <w:sz w:val="24"/>
        </w:rPr>
        <w:t>本期新增计提坏账准备</w:t>
      </w:r>
      <w:r w:rsidR="00873276">
        <w:rPr>
          <w:rFonts w:ascii="宋体" w:hAnsi="宋体" w:hint="eastAsia"/>
          <w:sz w:val="24"/>
        </w:rPr>
        <w:t>250.06</w:t>
      </w:r>
      <w:r w:rsidR="00352DD1" w:rsidRPr="009C0FD8">
        <w:rPr>
          <w:rFonts w:ascii="宋体" w:hAnsi="宋体" w:hint="eastAsia"/>
          <w:sz w:val="24"/>
        </w:rPr>
        <w:t>万元，本期转回</w:t>
      </w:r>
      <w:r w:rsidR="00352DD1" w:rsidRPr="009C0FD8">
        <w:rPr>
          <w:rFonts w:ascii="宋体" w:hAnsi="宋体"/>
          <w:sz w:val="24"/>
        </w:rPr>
        <w:t>0</w:t>
      </w:r>
      <w:r w:rsidR="00352DD1" w:rsidRPr="009C0FD8">
        <w:rPr>
          <w:rFonts w:ascii="宋体" w:hAnsi="宋体" w:hint="eastAsia"/>
          <w:sz w:val="24"/>
        </w:rPr>
        <w:t>万元</w:t>
      </w:r>
      <w:r w:rsidR="00873276">
        <w:rPr>
          <w:rFonts w:ascii="宋体" w:hAnsi="宋体" w:hint="eastAsia"/>
          <w:sz w:val="24"/>
        </w:rPr>
        <w:t>；</w:t>
      </w:r>
    </w:p>
    <w:p w14:paraId="397EC42F" w14:textId="524CB719" w:rsidR="00352DD1" w:rsidRPr="009C0FD8" w:rsidRDefault="00830E88" w:rsidP="005C0A92">
      <w:pPr>
        <w:widowControl/>
        <w:spacing w:line="360" w:lineRule="auto"/>
        <w:ind w:firstLineChars="200" w:firstLine="480"/>
        <w:rPr>
          <w:rFonts w:ascii="宋体" w:hAnsi="宋体"/>
          <w:color w:val="000000"/>
          <w:kern w:val="0"/>
          <w:sz w:val="24"/>
        </w:rPr>
      </w:pPr>
      <w:r>
        <w:rPr>
          <w:rFonts w:ascii="宋体" w:hAnsi="宋体" w:hint="eastAsia"/>
          <w:sz w:val="24"/>
        </w:rPr>
        <w:t>（</w:t>
      </w:r>
      <w:r w:rsidR="00767BE2" w:rsidRPr="00767BE2">
        <w:rPr>
          <w:rFonts w:ascii="宋体" w:hAnsi="宋体" w:hint="eastAsia"/>
          <w:sz w:val="24"/>
        </w:rPr>
        <w:t>2）</w:t>
      </w:r>
      <w:r w:rsidR="00767BE2">
        <w:rPr>
          <w:rFonts w:ascii="宋体" w:hAnsi="宋体" w:hint="eastAsia"/>
          <w:sz w:val="24"/>
        </w:rPr>
        <w:t>公司对按单项</w:t>
      </w:r>
      <w:r w:rsidR="00873276">
        <w:rPr>
          <w:rFonts w:ascii="宋体" w:hAnsi="宋体" w:hint="eastAsia"/>
          <w:sz w:val="24"/>
        </w:rPr>
        <w:t>计提坏账准备</w:t>
      </w:r>
      <w:r w:rsidR="00767BE2">
        <w:rPr>
          <w:rFonts w:ascii="宋体" w:hAnsi="宋体" w:hint="eastAsia"/>
          <w:sz w:val="24"/>
        </w:rPr>
        <w:t>的应收账款，期末应计提坏账</w:t>
      </w:r>
      <w:r w:rsidR="005C0A92">
        <w:rPr>
          <w:rFonts w:ascii="宋体" w:hAnsi="宋体" w:hint="eastAsia"/>
          <w:sz w:val="24"/>
        </w:rPr>
        <w:t>准备</w:t>
      </w:r>
      <w:r w:rsidR="00F64E11">
        <w:rPr>
          <w:rFonts w:ascii="宋体" w:hAnsi="宋体" w:hint="eastAsia"/>
          <w:sz w:val="24"/>
        </w:rPr>
        <w:t>318.16万元，</w:t>
      </w:r>
      <w:r w:rsidR="005C0A92">
        <w:rPr>
          <w:rFonts w:ascii="宋体" w:hAnsi="宋体" w:hint="eastAsia"/>
          <w:sz w:val="24"/>
        </w:rPr>
        <w:t>抵减善恩康</w:t>
      </w:r>
      <w:r w:rsidR="00F64E11">
        <w:rPr>
          <w:rFonts w:ascii="宋体" w:hAnsi="宋体" w:hint="eastAsia"/>
          <w:sz w:val="24"/>
        </w:rPr>
        <w:t>并</w:t>
      </w:r>
      <w:r w:rsidR="005C0A92">
        <w:rPr>
          <w:rFonts w:ascii="宋体" w:hAnsi="宋体" w:hint="eastAsia"/>
          <w:sz w:val="24"/>
        </w:rPr>
        <w:t>表</w:t>
      </w:r>
      <w:r w:rsidR="00F64E11">
        <w:rPr>
          <w:rFonts w:ascii="宋体" w:hAnsi="宋体" w:hint="eastAsia"/>
          <w:sz w:val="24"/>
        </w:rPr>
        <w:t>新增269.34万元，本期新增计提48.82万元</w:t>
      </w:r>
      <w:r w:rsidR="00352DD1" w:rsidRPr="009C0FD8">
        <w:rPr>
          <w:rFonts w:ascii="宋体" w:hAnsi="宋体" w:hint="eastAsia"/>
          <w:sz w:val="24"/>
        </w:rPr>
        <w:t>。</w:t>
      </w:r>
    </w:p>
    <w:p w14:paraId="4F3913D1" w14:textId="699FE484" w:rsidR="00352DD1" w:rsidRPr="009C0FD8" w:rsidRDefault="00352DD1" w:rsidP="00352DD1">
      <w:pPr>
        <w:pStyle w:val="Default"/>
        <w:spacing w:line="360" w:lineRule="auto"/>
        <w:ind w:firstLineChars="200" w:firstLine="480"/>
        <w:rPr>
          <w:rFonts w:hAnsi="宋体"/>
        </w:rPr>
      </w:pPr>
      <w:r w:rsidRPr="009C0FD8">
        <w:rPr>
          <w:rFonts w:hAnsi="宋体"/>
        </w:rPr>
        <w:t>2</w:t>
      </w:r>
      <w:r w:rsidRPr="009C0FD8">
        <w:rPr>
          <w:rFonts w:hAnsi="宋体" w:hint="eastAsia"/>
        </w:rPr>
        <w:t>、计提其他应收款坏账准备</w:t>
      </w:r>
      <w:r w:rsidR="00F64E11">
        <w:rPr>
          <w:rFonts w:hAnsi="宋体" w:hint="eastAsia"/>
        </w:rPr>
        <w:t>64.74</w:t>
      </w:r>
      <w:r w:rsidRPr="009C0FD8">
        <w:rPr>
          <w:rFonts w:hAnsi="宋体" w:hint="eastAsia"/>
        </w:rPr>
        <w:t>万元</w:t>
      </w:r>
    </w:p>
    <w:p w14:paraId="5BBA2379" w14:textId="54403605" w:rsidR="00352DD1" w:rsidRPr="005C0A92" w:rsidRDefault="005C0A92" w:rsidP="005C0A92">
      <w:pPr>
        <w:widowControl/>
        <w:spacing w:line="360" w:lineRule="auto"/>
        <w:ind w:firstLineChars="200" w:firstLine="480"/>
        <w:rPr>
          <w:rFonts w:ascii="宋体" w:hAnsi="宋体"/>
          <w:sz w:val="24"/>
        </w:rPr>
      </w:pPr>
      <w:r w:rsidRPr="005C0A92">
        <w:rPr>
          <w:rFonts w:ascii="宋体" w:hAnsi="宋体" w:hint="eastAsia"/>
          <w:sz w:val="24"/>
        </w:rPr>
        <w:t>（1）</w:t>
      </w:r>
      <w:r w:rsidR="00352DD1" w:rsidRPr="005C0A92">
        <w:rPr>
          <w:rFonts w:ascii="宋体" w:hAnsi="宋体" w:hint="eastAsia"/>
          <w:sz w:val="24"/>
        </w:rPr>
        <w:t>公司对按单项计提坏账准备的其他应收款，期末坏账准备</w:t>
      </w:r>
      <w:r w:rsidR="00F64E11" w:rsidRPr="005C0A92">
        <w:rPr>
          <w:rFonts w:ascii="宋体" w:hAnsi="宋体" w:hint="eastAsia"/>
          <w:sz w:val="24"/>
        </w:rPr>
        <w:t>68.73</w:t>
      </w:r>
      <w:r w:rsidR="00352DD1" w:rsidRPr="005C0A92">
        <w:rPr>
          <w:rFonts w:ascii="宋体" w:hAnsi="宋体" w:hint="eastAsia"/>
          <w:sz w:val="24"/>
        </w:rPr>
        <w:t>万元，</w:t>
      </w:r>
      <w:r w:rsidR="00767BE2" w:rsidRPr="005C0A92">
        <w:rPr>
          <w:rFonts w:ascii="宋体" w:hAnsi="宋体" w:hint="eastAsia"/>
          <w:sz w:val="24"/>
        </w:rPr>
        <w:t>抵减</w:t>
      </w:r>
      <w:r w:rsidR="00352DD1" w:rsidRPr="005C0A92">
        <w:rPr>
          <w:rFonts w:ascii="宋体" w:hAnsi="宋体" w:hint="eastAsia"/>
          <w:sz w:val="24"/>
        </w:rPr>
        <w:t>年初坏账准备余额</w:t>
      </w:r>
      <w:r w:rsidR="00F64E11" w:rsidRPr="005C0A92">
        <w:rPr>
          <w:rFonts w:ascii="宋体" w:hAnsi="宋体" w:hint="eastAsia"/>
          <w:sz w:val="24"/>
        </w:rPr>
        <w:t>6.07</w:t>
      </w:r>
      <w:r w:rsidR="00352DD1" w:rsidRPr="005C0A92">
        <w:rPr>
          <w:rFonts w:ascii="宋体" w:hAnsi="宋体" w:hint="eastAsia"/>
          <w:sz w:val="24"/>
        </w:rPr>
        <w:t>万元，本期新增计提坏账准备</w:t>
      </w:r>
      <w:r w:rsidR="00F64E11" w:rsidRPr="005C0A92">
        <w:rPr>
          <w:rFonts w:ascii="宋体" w:hAnsi="宋体" w:hint="eastAsia"/>
          <w:sz w:val="24"/>
        </w:rPr>
        <w:t>62.65</w:t>
      </w:r>
      <w:r w:rsidR="00352DD1" w:rsidRPr="005C0A92">
        <w:rPr>
          <w:rFonts w:ascii="宋体" w:hAnsi="宋体" w:hint="eastAsia"/>
          <w:sz w:val="24"/>
        </w:rPr>
        <w:t>万元，冲回</w:t>
      </w:r>
      <w:r w:rsidRPr="005C0A92">
        <w:rPr>
          <w:rFonts w:ascii="宋体" w:hAnsi="宋体"/>
          <w:sz w:val="24"/>
        </w:rPr>
        <w:t>0</w:t>
      </w:r>
      <w:r w:rsidR="00352DD1" w:rsidRPr="005C0A92">
        <w:rPr>
          <w:rFonts w:ascii="宋体" w:hAnsi="宋体" w:hint="eastAsia"/>
          <w:sz w:val="24"/>
        </w:rPr>
        <w:t>万元。</w:t>
      </w:r>
    </w:p>
    <w:p w14:paraId="0EEFBE0A" w14:textId="004C2FA5" w:rsidR="00352DD1" w:rsidRPr="009C0FD8" w:rsidRDefault="005C0A92" w:rsidP="00E14477">
      <w:pPr>
        <w:pStyle w:val="Default"/>
        <w:spacing w:line="360" w:lineRule="auto"/>
        <w:ind w:firstLineChars="200" w:firstLine="480"/>
        <w:jc w:val="both"/>
        <w:rPr>
          <w:rFonts w:hAnsi="宋体"/>
        </w:rPr>
      </w:pPr>
      <w:r>
        <w:rPr>
          <w:rFonts w:hAnsi="宋体" w:hint="eastAsia"/>
        </w:rPr>
        <w:t>（2）</w:t>
      </w:r>
      <w:r w:rsidR="00352DD1" w:rsidRPr="009C0FD8">
        <w:rPr>
          <w:rFonts w:hAnsi="宋体" w:hint="eastAsia"/>
        </w:rPr>
        <w:t>公司对按组合计提坏账准备的其他应收款，期末应计提坏账准备</w:t>
      </w:r>
      <w:r w:rsidR="00F64E11">
        <w:rPr>
          <w:rFonts w:hAnsi="宋体" w:hint="eastAsia"/>
        </w:rPr>
        <w:t>11.72</w:t>
      </w:r>
      <w:r w:rsidR="00352DD1" w:rsidRPr="009C0FD8">
        <w:rPr>
          <w:rFonts w:hAnsi="宋体" w:hint="eastAsia"/>
        </w:rPr>
        <w:t>万元，抵减年初坏账准备余额</w:t>
      </w:r>
      <w:r w:rsidR="00F64E11">
        <w:rPr>
          <w:rFonts w:hAnsi="宋体" w:hint="eastAsia"/>
        </w:rPr>
        <w:t>9.63</w:t>
      </w:r>
      <w:r w:rsidR="00352DD1" w:rsidRPr="009C0FD8">
        <w:rPr>
          <w:rFonts w:hAnsi="宋体" w:hint="eastAsia"/>
        </w:rPr>
        <w:t>万元，本期</w:t>
      </w:r>
      <w:r w:rsidR="00767BE2">
        <w:rPr>
          <w:rFonts w:hAnsi="宋体" w:hint="eastAsia"/>
        </w:rPr>
        <w:t>新增计提</w:t>
      </w:r>
      <w:r w:rsidR="00352DD1" w:rsidRPr="009C0FD8">
        <w:rPr>
          <w:rFonts w:hAnsi="宋体" w:hint="eastAsia"/>
        </w:rPr>
        <w:t>坏账准备</w:t>
      </w:r>
      <w:r w:rsidR="00F64E11">
        <w:rPr>
          <w:rFonts w:hAnsi="宋体" w:hint="eastAsia"/>
        </w:rPr>
        <w:t>2.09</w:t>
      </w:r>
      <w:r w:rsidR="00352DD1" w:rsidRPr="009C0FD8">
        <w:rPr>
          <w:rFonts w:hAnsi="宋体" w:hint="eastAsia"/>
        </w:rPr>
        <w:t>万元。</w:t>
      </w:r>
    </w:p>
    <w:p w14:paraId="1E5A3A62" w14:textId="464D821D" w:rsidR="00352DD1" w:rsidRPr="009C0FD8" w:rsidRDefault="00352DD1" w:rsidP="00352DD1">
      <w:pPr>
        <w:pStyle w:val="Default"/>
        <w:spacing w:line="360" w:lineRule="auto"/>
        <w:ind w:firstLineChars="200" w:firstLine="480"/>
        <w:rPr>
          <w:rFonts w:hAnsi="宋体"/>
        </w:rPr>
      </w:pPr>
      <w:r w:rsidRPr="009C0FD8">
        <w:rPr>
          <w:rFonts w:hAnsi="宋体" w:hint="eastAsia"/>
        </w:rPr>
        <w:t>（二）计提存货跌价准备</w:t>
      </w:r>
      <w:r w:rsidR="00E149B5">
        <w:rPr>
          <w:rFonts w:hAnsi="宋体" w:hint="eastAsia"/>
        </w:rPr>
        <w:t>248.70</w:t>
      </w:r>
      <w:r w:rsidRPr="009C0FD8">
        <w:rPr>
          <w:rFonts w:hAnsi="宋体" w:hint="eastAsia"/>
        </w:rPr>
        <w:t>万元</w:t>
      </w:r>
    </w:p>
    <w:p w14:paraId="067E96A6" w14:textId="27DC7082" w:rsidR="00352DD1" w:rsidRPr="009C0FD8" w:rsidRDefault="00352DD1" w:rsidP="00E14477">
      <w:pPr>
        <w:pStyle w:val="Default"/>
        <w:spacing w:line="360" w:lineRule="auto"/>
        <w:ind w:firstLineChars="200" w:firstLine="480"/>
        <w:jc w:val="both"/>
        <w:rPr>
          <w:rFonts w:hAnsi="宋体"/>
        </w:rPr>
      </w:pPr>
      <w:r w:rsidRPr="009C0FD8">
        <w:rPr>
          <w:rFonts w:hAnsi="宋体" w:hint="eastAsia"/>
        </w:rPr>
        <w:t>公司期末在对存货进行全面盘点的基础上，根据存货成本与可变现净值孰低计量，按单个存货项目对同类存货项目的可变现净值低于存货成本的差额计提存货跌价准备，并计入当期损益。本期存货跌价准备的年初余额</w:t>
      </w:r>
      <w:r w:rsidR="00E149B5" w:rsidRPr="009C0FD8">
        <w:rPr>
          <w:rFonts w:hAnsi="宋体"/>
        </w:rPr>
        <w:t>357.61</w:t>
      </w:r>
      <w:r w:rsidRPr="009C0FD8">
        <w:rPr>
          <w:rFonts w:hAnsi="宋体" w:hint="eastAsia"/>
        </w:rPr>
        <w:t>万元，本期新增计提存货跌价准备</w:t>
      </w:r>
      <w:r w:rsidR="00E149B5">
        <w:rPr>
          <w:rFonts w:hAnsi="宋体" w:hint="eastAsia"/>
        </w:rPr>
        <w:t>248.70</w:t>
      </w:r>
      <w:r w:rsidRPr="009C0FD8">
        <w:rPr>
          <w:rFonts w:hAnsi="宋体" w:hint="eastAsia"/>
        </w:rPr>
        <w:t>万元，本期转销</w:t>
      </w:r>
      <w:r w:rsidR="00D55A8E">
        <w:rPr>
          <w:rFonts w:hAnsi="宋体" w:hint="eastAsia"/>
        </w:rPr>
        <w:t>271.71</w:t>
      </w:r>
      <w:r w:rsidR="00E14477">
        <w:rPr>
          <w:rFonts w:hAnsi="宋体" w:hint="eastAsia"/>
        </w:rPr>
        <w:t>万元，善恩康并表新增</w:t>
      </w:r>
      <w:r w:rsidR="00D55A8E">
        <w:rPr>
          <w:rFonts w:hAnsi="宋体" w:hint="eastAsia"/>
        </w:rPr>
        <w:t>86.43万元，</w:t>
      </w:r>
      <w:r w:rsidRPr="009C0FD8">
        <w:rPr>
          <w:rFonts w:hAnsi="宋体" w:hint="eastAsia"/>
        </w:rPr>
        <w:t>年末存货跌价准备余额为</w:t>
      </w:r>
      <w:r w:rsidR="00D55A8E">
        <w:rPr>
          <w:rFonts w:hAnsi="宋体" w:hint="eastAsia"/>
        </w:rPr>
        <w:t>421.04</w:t>
      </w:r>
      <w:r w:rsidRPr="009C0FD8">
        <w:rPr>
          <w:rFonts w:hAnsi="宋体" w:hint="eastAsia"/>
        </w:rPr>
        <w:t>万元。</w:t>
      </w:r>
    </w:p>
    <w:p w14:paraId="41661800" w14:textId="69A32453" w:rsidR="00352DD1" w:rsidRPr="009C0FD8" w:rsidRDefault="00352DD1" w:rsidP="00352DD1">
      <w:pPr>
        <w:pStyle w:val="Default"/>
        <w:spacing w:line="360" w:lineRule="auto"/>
        <w:ind w:firstLineChars="200" w:firstLine="480"/>
        <w:rPr>
          <w:rFonts w:hAnsi="宋体"/>
        </w:rPr>
      </w:pPr>
      <w:r w:rsidRPr="009C0FD8">
        <w:rPr>
          <w:rFonts w:hAnsi="宋体" w:hint="eastAsia"/>
        </w:rPr>
        <w:t>（三）计提长期股权投资减值准备</w:t>
      </w:r>
      <w:r w:rsidR="00E06DF6">
        <w:rPr>
          <w:rFonts w:hAnsi="宋体" w:hint="eastAsia"/>
        </w:rPr>
        <w:t>13</w:t>
      </w:r>
      <w:r w:rsidR="00E06DF6" w:rsidRPr="009C0FD8">
        <w:rPr>
          <w:rFonts w:hAnsi="宋体" w:hint="eastAsia"/>
        </w:rPr>
        <w:t>,</w:t>
      </w:r>
      <w:r w:rsidR="00E06DF6">
        <w:rPr>
          <w:rFonts w:hAnsi="宋体" w:hint="eastAsia"/>
        </w:rPr>
        <w:t>777.56</w:t>
      </w:r>
      <w:r w:rsidRPr="009C0FD8">
        <w:rPr>
          <w:rFonts w:hAnsi="宋体" w:hint="eastAsia"/>
        </w:rPr>
        <w:t>万元</w:t>
      </w:r>
    </w:p>
    <w:p w14:paraId="04B38C99" w14:textId="6D17D348" w:rsidR="00352DD1" w:rsidRDefault="00352DD1" w:rsidP="00E14477">
      <w:pPr>
        <w:pStyle w:val="Default"/>
        <w:spacing w:line="360" w:lineRule="auto"/>
        <w:ind w:firstLineChars="200" w:firstLine="480"/>
        <w:jc w:val="both"/>
        <w:rPr>
          <w:rFonts w:hAnsi="宋体"/>
        </w:rPr>
      </w:pPr>
      <w:r w:rsidRPr="009C0FD8">
        <w:rPr>
          <w:rFonts w:hAnsi="宋体" w:hint="eastAsia"/>
        </w:rPr>
        <w:t>按照《企业会计准则第</w:t>
      </w:r>
      <w:r w:rsidRPr="009C0FD8">
        <w:rPr>
          <w:rFonts w:hAnsi="宋体"/>
        </w:rPr>
        <w:t>8</w:t>
      </w:r>
      <w:r w:rsidRPr="009C0FD8">
        <w:rPr>
          <w:rFonts w:hAnsi="宋体" w:hint="eastAsia"/>
        </w:rPr>
        <w:t>号</w:t>
      </w:r>
      <w:r w:rsidRPr="009C0FD8">
        <w:rPr>
          <w:rFonts w:hAnsi="宋体"/>
        </w:rPr>
        <w:t>——</w:t>
      </w:r>
      <w:r w:rsidRPr="009C0FD8">
        <w:rPr>
          <w:rFonts w:hAnsi="宋体" w:hint="eastAsia"/>
        </w:rPr>
        <w:t>资产减值》的要求</w:t>
      </w:r>
      <w:r w:rsidR="00E14477">
        <w:rPr>
          <w:rFonts w:hAnsi="宋体" w:hint="eastAsia"/>
        </w:rPr>
        <w:t>，</w:t>
      </w:r>
      <w:r w:rsidR="0027457B" w:rsidRPr="005A43DC">
        <w:rPr>
          <w:rFonts w:hAnsi="宋体" w:hint="eastAsia"/>
        </w:rPr>
        <w:t>公司对</w:t>
      </w:r>
      <w:r w:rsidR="003D7E20">
        <w:rPr>
          <w:rFonts w:hAnsi="宋体" w:hint="eastAsia"/>
        </w:rPr>
        <w:t>参股</w:t>
      </w:r>
      <w:r w:rsidR="00E14477">
        <w:rPr>
          <w:rFonts w:hAnsi="宋体" w:hint="eastAsia"/>
        </w:rPr>
        <w:t>公司</w:t>
      </w:r>
      <w:r w:rsidR="0027457B" w:rsidRPr="0027457B">
        <w:rPr>
          <w:rFonts w:hAnsi="宋体" w:hint="eastAsia"/>
        </w:rPr>
        <w:t>薇美姿实业（广东）股份有限公司</w:t>
      </w:r>
      <w:r w:rsidR="0027457B">
        <w:rPr>
          <w:rFonts w:hAnsi="宋体" w:hint="eastAsia"/>
        </w:rPr>
        <w:t>形成的长期股权投资进行</w:t>
      </w:r>
      <w:r w:rsidR="003D7E20">
        <w:rPr>
          <w:rFonts w:hAnsi="宋体" w:hint="eastAsia"/>
        </w:rPr>
        <w:t>减值测试。</w:t>
      </w:r>
      <w:r w:rsidR="003D7E20" w:rsidRPr="001B3ADE">
        <w:rPr>
          <w:rFonts w:hAnsi="宋体"/>
        </w:rPr>
        <w:t>减值测试结果表明资产的可收回金额低于其账面价值，按其差额计提减值准备并计入资产减值损失。</w:t>
      </w:r>
      <w:r w:rsidRPr="009C0FD8">
        <w:rPr>
          <w:rFonts w:hAnsi="宋体" w:hint="eastAsia"/>
        </w:rPr>
        <w:t>银信资产评估有限公司已出具专业评估报告。经测算，公司本期</w:t>
      </w:r>
      <w:r w:rsidR="003D7E20">
        <w:rPr>
          <w:rFonts w:hAnsi="宋体" w:hint="eastAsia"/>
        </w:rPr>
        <w:t>需</w:t>
      </w:r>
      <w:r w:rsidRPr="009C0FD8">
        <w:rPr>
          <w:rFonts w:hAnsi="宋体" w:hint="eastAsia"/>
        </w:rPr>
        <w:t>计提长期股权投资减值准备</w:t>
      </w:r>
      <w:r w:rsidR="00E06DF6">
        <w:rPr>
          <w:rFonts w:hAnsi="宋体" w:hint="eastAsia"/>
        </w:rPr>
        <w:t>13</w:t>
      </w:r>
      <w:r w:rsidR="00E06DF6" w:rsidRPr="009C0FD8">
        <w:rPr>
          <w:rFonts w:hAnsi="宋体" w:hint="eastAsia"/>
        </w:rPr>
        <w:t>,</w:t>
      </w:r>
      <w:r w:rsidR="00E06DF6">
        <w:rPr>
          <w:rFonts w:hAnsi="宋体" w:hint="eastAsia"/>
        </w:rPr>
        <w:t>777.56</w:t>
      </w:r>
      <w:r w:rsidRPr="009C0FD8">
        <w:rPr>
          <w:rFonts w:hAnsi="宋体" w:hint="eastAsia"/>
        </w:rPr>
        <w:t>万元</w:t>
      </w:r>
      <w:r w:rsidR="003D7E20">
        <w:rPr>
          <w:rFonts w:hAnsi="宋体" w:hint="eastAsia"/>
        </w:rPr>
        <w:t>。</w:t>
      </w:r>
    </w:p>
    <w:p w14:paraId="48851845" w14:textId="6B4D06A4" w:rsidR="00EA3546" w:rsidRPr="009C0FD8" w:rsidRDefault="00EA3546" w:rsidP="00EA3546">
      <w:pPr>
        <w:pStyle w:val="Default"/>
        <w:spacing w:line="360" w:lineRule="auto"/>
        <w:ind w:firstLineChars="200" w:firstLine="480"/>
        <w:rPr>
          <w:rFonts w:hAnsi="宋体"/>
        </w:rPr>
      </w:pPr>
      <w:r w:rsidRPr="009C0FD8">
        <w:rPr>
          <w:rFonts w:hAnsi="宋体" w:hint="eastAsia"/>
        </w:rPr>
        <w:t>（</w:t>
      </w:r>
      <w:r>
        <w:rPr>
          <w:rFonts w:hAnsi="宋体" w:hint="eastAsia"/>
        </w:rPr>
        <w:t>四</w:t>
      </w:r>
      <w:r w:rsidRPr="009C0FD8">
        <w:rPr>
          <w:rFonts w:hAnsi="宋体" w:hint="eastAsia"/>
        </w:rPr>
        <w:t>）</w:t>
      </w:r>
      <w:r>
        <w:rPr>
          <w:rFonts w:hAnsi="宋体" w:hint="eastAsia"/>
        </w:rPr>
        <w:t>商誉</w:t>
      </w:r>
      <w:r w:rsidRPr="009C0FD8">
        <w:rPr>
          <w:rFonts w:hAnsi="宋体" w:hint="eastAsia"/>
        </w:rPr>
        <w:t>减值准备</w:t>
      </w:r>
      <w:r w:rsidR="00E06DF6">
        <w:rPr>
          <w:rFonts w:hAnsi="宋体" w:hint="eastAsia"/>
        </w:rPr>
        <w:t>3,9</w:t>
      </w:r>
      <w:r w:rsidR="00D92556">
        <w:rPr>
          <w:rFonts w:hAnsi="宋体" w:hint="eastAsia"/>
        </w:rPr>
        <w:t>62</w:t>
      </w:r>
      <w:r w:rsidR="00E06DF6">
        <w:rPr>
          <w:rFonts w:hAnsi="宋体" w:hint="eastAsia"/>
        </w:rPr>
        <w:t>.00</w:t>
      </w:r>
      <w:r w:rsidRPr="009C0FD8">
        <w:rPr>
          <w:rFonts w:hAnsi="宋体" w:hint="eastAsia"/>
        </w:rPr>
        <w:t>万元</w:t>
      </w:r>
    </w:p>
    <w:p w14:paraId="7D8A950D" w14:textId="0ACF0F70" w:rsidR="00EA3546" w:rsidRPr="009C0FD8" w:rsidRDefault="00EA3546" w:rsidP="00D06339">
      <w:pPr>
        <w:pStyle w:val="Default"/>
        <w:spacing w:line="360" w:lineRule="auto"/>
        <w:ind w:firstLineChars="200" w:firstLine="480"/>
        <w:jc w:val="both"/>
        <w:rPr>
          <w:rFonts w:hAnsi="宋体"/>
        </w:rPr>
      </w:pPr>
      <w:r w:rsidRPr="009C0FD8">
        <w:rPr>
          <w:rFonts w:hAnsi="宋体" w:hint="eastAsia"/>
        </w:rPr>
        <w:lastRenderedPageBreak/>
        <w:t>按照《企业会计准则第</w:t>
      </w:r>
      <w:r w:rsidRPr="009C0FD8">
        <w:rPr>
          <w:rFonts w:hAnsi="宋体"/>
        </w:rPr>
        <w:t>8</w:t>
      </w:r>
      <w:r w:rsidRPr="009C0FD8">
        <w:rPr>
          <w:rFonts w:hAnsi="宋体" w:hint="eastAsia"/>
        </w:rPr>
        <w:t>号</w:t>
      </w:r>
      <w:r w:rsidRPr="009C0FD8">
        <w:rPr>
          <w:rFonts w:hAnsi="宋体"/>
        </w:rPr>
        <w:t>——</w:t>
      </w:r>
      <w:r w:rsidRPr="009C0FD8">
        <w:rPr>
          <w:rFonts w:hAnsi="宋体" w:hint="eastAsia"/>
        </w:rPr>
        <w:t>资产减值》的要求</w:t>
      </w:r>
      <w:r w:rsidR="00210388">
        <w:rPr>
          <w:rFonts w:hAnsi="宋体" w:hint="eastAsia"/>
        </w:rPr>
        <w:t>，</w:t>
      </w:r>
      <w:r w:rsidR="00210388" w:rsidRPr="005A43DC">
        <w:rPr>
          <w:rFonts w:hAnsi="宋体" w:hint="eastAsia"/>
        </w:rPr>
        <w:t>公司对收购善恩康生物科技（苏州）有限公司所产生的商誉进行减值测试。</w:t>
      </w:r>
      <w:r w:rsidR="001B3ADE" w:rsidRPr="001B3ADE">
        <w:rPr>
          <w:rFonts w:hAnsi="宋体"/>
        </w:rPr>
        <w:t>减值测试结果表明资产的可收回金额低于其账面价值，按其差额计提减值准备并计入资产减值损失。</w:t>
      </w:r>
      <w:r w:rsidR="00492C33" w:rsidRPr="00492C33">
        <w:rPr>
          <w:rFonts w:hAnsi="宋体"/>
        </w:rPr>
        <w:t>上海科东资产评估有限公司</w:t>
      </w:r>
      <w:r w:rsidR="001B3ADE" w:rsidRPr="009C0FD8">
        <w:rPr>
          <w:rFonts w:hAnsi="宋体" w:hint="eastAsia"/>
        </w:rPr>
        <w:t>已出具专业评估报告。经测算，</w:t>
      </w:r>
      <w:r w:rsidR="003D7E20">
        <w:rPr>
          <w:rFonts w:hAnsi="宋体" w:hint="eastAsia"/>
        </w:rPr>
        <w:t>公司本期</w:t>
      </w:r>
      <w:r w:rsidR="00210388" w:rsidRPr="005A43DC">
        <w:rPr>
          <w:rFonts w:hAnsi="宋体"/>
        </w:rPr>
        <w:t>需</w:t>
      </w:r>
      <w:r w:rsidR="00210388" w:rsidRPr="005A43DC">
        <w:rPr>
          <w:rFonts w:hAnsi="宋体" w:hint="eastAsia"/>
        </w:rPr>
        <w:t>计提商誉减值准备</w:t>
      </w:r>
      <w:r w:rsidR="00E06DF6">
        <w:rPr>
          <w:rFonts w:hAnsi="宋体" w:hint="eastAsia"/>
        </w:rPr>
        <w:t>3,9</w:t>
      </w:r>
      <w:r w:rsidR="00D92556">
        <w:rPr>
          <w:rFonts w:hAnsi="宋体" w:hint="eastAsia"/>
        </w:rPr>
        <w:t>62</w:t>
      </w:r>
      <w:r w:rsidR="00E06DF6">
        <w:rPr>
          <w:rFonts w:hAnsi="宋体" w:hint="eastAsia"/>
        </w:rPr>
        <w:t>.00</w:t>
      </w:r>
      <w:r w:rsidR="00210388" w:rsidRPr="005A43DC">
        <w:rPr>
          <w:rFonts w:hAnsi="宋体" w:hint="eastAsia"/>
        </w:rPr>
        <w:t>万元。</w:t>
      </w:r>
      <w:r w:rsidR="00210388" w:rsidRPr="005A43DC">
        <w:rPr>
          <w:rFonts w:hAnsi="宋体"/>
        </w:rPr>
        <w:t>本次商誉减值计提后，公司的商誉余额为</w:t>
      </w:r>
      <w:r w:rsidR="001B3ADE">
        <w:rPr>
          <w:rFonts w:hAnsi="宋体" w:hint="eastAsia"/>
        </w:rPr>
        <w:t>5,1</w:t>
      </w:r>
      <w:r w:rsidR="00D92556">
        <w:rPr>
          <w:rFonts w:hAnsi="宋体" w:hint="eastAsia"/>
        </w:rPr>
        <w:t>39</w:t>
      </w:r>
      <w:r w:rsidR="001B3ADE">
        <w:rPr>
          <w:rFonts w:hAnsi="宋体" w:hint="eastAsia"/>
        </w:rPr>
        <w:t>.28</w:t>
      </w:r>
      <w:r w:rsidR="00210388" w:rsidRPr="005A43DC">
        <w:rPr>
          <w:rFonts w:hAnsi="宋体" w:hint="eastAsia"/>
        </w:rPr>
        <w:t>万</w:t>
      </w:r>
      <w:r w:rsidR="00210388" w:rsidRPr="005A43DC">
        <w:rPr>
          <w:rFonts w:hAnsi="宋体"/>
        </w:rPr>
        <w:t>元。</w:t>
      </w:r>
    </w:p>
    <w:p w14:paraId="77257FD4" w14:textId="77777777" w:rsidR="00352DD1" w:rsidRPr="00D06339" w:rsidRDefault="00352DD1" w:rsidP="00352DD1">
      <w:pPr>
        <w:pStyle w:val="Default"/>
        <w:spacing w:line="360" w:lineRule="auto"/>
        <w:ind w:firstLineChars="200" w:firstLine="482"/>
        <w:rPr>
          <w:rFonts w:hAnsi="宋体"/>
          <w:b/>
        </w:rPr>
      </w:pPr>
      <w:r w:rsidRPr="00D06339">
        <w:rPr>
          <w:rFonts w:hAnsi="宋体" w:hint="eastAsia"/>
          <w:b/>
        </w:rPr>
        <w:t>三、对公司财务状况和经营成果的影响</w:t>
      </w:r>
    </w:p>
    <w:p w14:paraId="74A5D555" w14:textId="4490003F" w:rsidR="00352DD1" w:rsidRDefault="00352DD1" w:rsidP="00D06339">
      <w:pPr>
        <w:pStyle w:val="Default"/>
        <w:spacing w:line="360" w:lineRule="auto"/>
        <w:ind w:firstLineChars="200" w:firstLine="480"/>
        <w:jc w:val="both"/>
        <w:rPr>
          <w:rFonts w:hAnsi="宋体"/>
        </w:rPr>
      </w:pPr>
      <w:r w:rsidRPr="009C0FD8">
        <w:rPr>
          <w:rFonts w:hAnsi="宋体" w:hint="eastAsia"/>
        </w:rPr>
        <w:t>本次计提减值准备合计</w:t>
      </w:r>
      <w:r w:rsidR="00E06DF6">
        <w:rPr>
          <w:rFonts w:hAnsi="宋体" w:hint="eastAsia"/>
        </w:rPr>
        <w:t>18</w:t>
      </w:r>
      <w:r w:rsidR="00E06DF6" w:rsidRPr="009C0FD8">
        <w:rPr>
          <w:rFonts w:hAnsi="宋体" w:hint="eastAsia"/>
        </w:rPr>
        <w:t>,</w:t>
      </w:r>
      <w:r w:rsidR="00E06DF6">
        <w:rPr>
          <w:rFonts w:hAnsi="宋体" w:hint="eastAsia"/>
        </w:rPr>
        <w:t>3</w:t>
      </w:r>
      <w:r w:rsidR="00D92556">
        <w:rPr>
          <w:rFonts w:hAnsi="宋体" w:hint="eastAsia"/>
        </w:rPr>
        <w:t>51</w:t>
      </w:r>
      <w:r w:rsidR="00E06DF6">
        <w:rPr>
          <w:rFonts w:hAnsi="宋体" w:hint="eastAsia"/>
        </w:rPr>
        <w:t>.88</w:t>
      </w:r>
      <w:r w:rsidRPr="009C0FD8">
        <w:rPr>
          <w:rFonts w:hAnsi="宋体" w:hint="eastAsia"/>
        </w:rPr>
        <w:t>万元，减少公司2</w:t>
      </w:r>
      <w:r w:rsidRPr="009C0FD8">
        <w:rPr>
          <w:rFonts w:hAnsi="宋体"/>
        </w:rPr>
        <w:t>02</w:t>
      </w:r>
      <w:r>
        <w:rPr>
          <w:rFonts w:hAnsi="宋体" w:hint="eastAsia"/>
        </w:rPr>
        <w:t>4</w:t>
      </w:r>
      <w:r w:rsidRPr="009C0FD8">
        <w:rPr>
          <w:rFonts w:hAnsi="宋体" w:hint="eastAsia"/>
        </w:rPr>
        <w:t>年度利润总额</w:t>
      </w:r>
      <w:r w:rsidR="00E06DF6">
        <w:rPr>
          <w:rFonts w:hAnsi="宋体" w:hint="eastAsia"/>
        </w:rPr>
        <w:t>18</w:t>
      </w:r>
      <w:r w:rsidR="00E06DF6" w:rsidRPr="009C0FD8">
        <w:rPr>
          <w:rFonts w:hAnsi="宋体" w:hint="eastAsia"/>
        </w:rPr>
        <w:t>,</w:t>
      </w:r>
      <w:r w:rsidR="00E06DF6">
        <w:rPr>
          <w:rFonts w:hAnsi="宋体" w:hint="eastAsia"/>
        </w:rPr>
        <w:t>3</w:t>
      </w:r>
      <w:r w:rsidR="00D92556">
        <w:rPr>
          <w:rFonts w:hAnsi="宋体" w:hint="eastAsia"/>
        </w:rPr>
        <w:t>51</w:t>
      </w:r>
      <w:r w:rsidR="00E06DF6">
        <w:rPr>
          <w:rFonts w:hAnsi="宋体" w:hint="eastAsia"/>
        </w:rPr>
        <w:t>.88</w:t>
      </w:r>
      <w:r w:rsidRPr="009C0FD8">
        <w:rPr>
          <w:rFonts w:hAnsi="宋体" w:hint="eastAsia"/>
        </w:rPr>
        <w:t>万元。</w:t>
      </w:r>
    </w:p>
    <w:p w14:paraId="63665271" w14:textId="2327F4F7" w:rsidR="00D06339" w:rsidRPr="00D06339" w:rsidRDefault="00D06339" w:rsidP="00D06339">
      <w:pPr>
        <w:pStyle w:val="Default"/>
        <w:spacing w:line="360" w:lineRule="auto"/>
        <w:ind w:firstLineChars="200" w:firstLine="482"/>
        <w:jc w:val="both"/>
        <w:rPr>
          <w:rFonts w:hAnsi="宋体"/>
          <w:b/>
        </w:rPr>
      </w:pPr>
      <w:r w:rsidRPr="00D06339">
        <w:rPr>
          <w:rFonts w:hAnsi="宋体" w:hint="eastAsia"/>
          <w:b/>
        </w:rPr>
        <w:t>四、本次计提减值准备履行的程序</w:t>
      </w:r>
    </w:p>
    <w:p w14:paraId="32E6ECBB" w14:textId="6DA9B2DE" w:rsidR="00387411" w:rsidRDefault="00D06339" w:rsidP="00D06339">
      <w:pPr>
        <w:pStyle w:val="Default"/>
        <w:spacing w:line="360" w:lineRule="auto"/>
        <w:ind w:firstLineChars="200" w:firstLine="480"/>
        <w:jc w:val="both"/>
        <w:rPr>
          <w:rFonts w:hAnsi="宋体"/>
        </w:rPr>
      </w:pPr>
      <w:r>
        <w:rPr>
          <w:rFonts w:hAnsi="宋体" w:hint="eastAsia"/>
        </w:rPr>
        <w:t>（一）</w:t>
      </w:r>
      <w:r w:rsidR="00387411" w:rsidRPr="00387411">
        <w:rPr>
          <w:rFonts w:hAnsi="宋体" w:hint="eastAsia"/>
        </w:rPr>
        <w:t>审计委员会审核意见</w:t>
      </w:r>
    </w:p>
    <w:p w14:paraId="52AF16F8" w14:textId="52AAA91E" w:rsidR="00387411" w:rsidRDefault="00387411" w:rsidP="00387411">
      <w:pPr>
        <w:pStyle w:val="Default"/>
        <w:spacing w:line="360" w:lineRule="auto"/>
        <w:ind w:firstLineChars="200" w:firstLine="480"/>
        <w:rPr>
          <w:rFonts w:hAnsi="宋体"/>
        </w:rPr>
      </w:pPr>
      <w:r w:rsidRPr="00387411">
        <w:rPr>
          <w:rFonts w:hAnsi="宋体" w:hint="eastAsia"/>
        </w:rPr>
        <w:t>本次计提资产减值准备符合《企业会计准则》和公司会计</w:t>
      </w:r>
      <w:r w:rsidR="00D06339">
        <w:rPr>
          <w:rFonts w:hAnsi="宋体" w:hint="eastAsia"/>
        </w:rPr>
        <w:t>政策的规定，计提资产减值准备后，能够更加真实公允地反映</w:t>
      </w:r>
      <w:r w:rsidRPr="00387411">
        <w:rPr>
          <w:rFonts w:hAnsi="宋体" w:hint="eastAsia"/>
        </w:rPr>
        <w:t>公司财务状况，有助于向投资者提供更加真实、可靠、准确的会计信息。</w:t>
      </w:r>
    </w:p>
    <w:p w14:paraId="7826D869" w14:textId="69582C52" w:rsidR="00D06339" w:rsidRDefault="00D06339" w:rsidP="00387411">
      <w:pPr>
        <w:pStyle w:val="Default"/>
        <w:spacing w:line="360" w:lineRule="auto"/>
        <w:ind w:firstLineChars="200" w:firstLine="480"/>
        <w:rPr>
          <w:rFonts w:hAnsi="宋体"/>
        </w:rPr>
      </w:pPr>
      <w:r>
        <w:rPr>
          <w:rFonts w:hAnsi="宋体" w:hint="eastAsia"/>
        </w:rPr>
        <w:t>（二）</w:t>
      </w:r>
      <w:r w:rsidRPr="00D06339">
        <w:rPr>
          <w:rFonts w:hAnsi="宋体" w:hint="eastAsia"/>
        </w:rPr>
        <w:t>董事会审议情况</w:t>
      </w:r>
    </w:p>
    <w:p w14:paraId="30A49425" w14:textId="5E5F4ACA" w:rsidR="00D06339" w:rsidRPr="00D06339" w:rsidRDefault="00D06339" w:rsidP="00D06339">
      <w:pPr>
        <w:pStyle w:val="Default"/>
        <w:spacing w:line="360" w:lineRule="auto"/>
        <w:ind w:firstLineChars="200" w:firstLine="480"/>
        <w:rPr>
          <w:rFonts w:hAnsi="宋体" w:hint="eastAsia"/>
        </w:rPr>
      </w:pPr>
      <w:r w:rsidRPr="00D06339">
        <w:rPr>
          <w:rFonts w:hAnsi="宋体" w:hint="eastAsia"/>
        </w:rPr>
        <w:t>公司于2025年4月</w:t>
      </w:r>
      <w:r>
        <w:rPr>
          <w:rFonts w:hAnsi="宋体"/>
        </w:rPr>
        <w:t>29</w:t>
      </w:r>
      <w:r>
        <w:rPr>
          <w:rFonts w:hAnsi="宋体" w:hint="eastAsia"/>
        </w:rPr>
        <w:t>日召开第三届董事会第二十</w:t>
      </w:r>
      <w:r w:rsidRPr="00D06339">
        <w:rPr>
          <w:rFonts w:hAnsi="宋体" w:hint="eastAsia"/>
        </w:rPr>
        <w:t>次会议，审议通过了《关</w:t>
      </w:r>
      <w:r>
        <w:rPr>
          <w:rFonts w:hAnsi="宋体" w:hint="eastAsia"/>
        </w:rPr>
        <w:t>于计提资产减值准备的议案》，</w:t>
      </w:r>
      <w:r w:rsidRPr="00D06339">
        <w:rPr>
          <w:rFonts w:hAnsi="宋体" w:hint="eastAsia"/>
        </w:rPr>
        <w:t>同意公司本次计提资产减值准备事项。</w:t>
      </w:r>
    </w:p>
    <w:p w14:paraId="7D669282" w14:textId="0C7B8EF7" w:rsidR="00352DD1" w:rsidRDefault="00D06339" w:rsidP="00387411">
      <w:pPr>
        <w:pStyle w:val="Default"/>
        <w:spacing w:line="360" w:lineRule="auto"/>
        <w:ind w:firstLineChars="200" w:firstLine="480"/>
        <w:rPr>
          <w:rFonts w:hAnsi="宋体"/>
        </w:rPr>
      </w:pPr>
      <w:r>
        <w:rPr>
          <w:rFonts w:hAnsi="宋体" w:hint="eastAsia"/>
        </w:rPr>
        <w:t>（三）</w:t>
      </w:r>
      <w:r w:rsidR="00352DD1" w:rsidRPr="00352DD1">
        <w:rPr>
          <w:rFonts w:hAnsi="宋体"/>
        </w:rPr>
        <w:t>监事会意见</w:t>
      </w:r>
    </w:p>
    <w:p w14:paraId="20D26B20" w14:textId="470F6CDC" w:rsidR="00352DD1" w:rsidRDefault="00352DD1" w:rsidP="00D06339">
      <w:pPr>
        <w:pStyle w:val="Default"/>
        <w:spacing w:line="360" w:lineRule="auto"/>
        <w:ind w:firstLineChars="200" w:firstLine="480"/>
        <w:jc w:val="both"/>
        <w:rPr>
          <w:rFonts w:hAnsi="宋体"/>
        </w:rPr>
      </w:pPr>
      <w:r w:rsidRPr="00352DD1">
        <w:rPr>
          <w:rFonts w:hAnsi="宋体"/>
        </w:rPr>
        <w:t>公司本次计提资产减值准备符合《企业会计准则》和公司相关制度的规定，保证了公司所编制的财务报表符合企业会计准则的要求，真实、完整地反映报告期资产的价值，更公允地反映公司财务状况以及经营成果，符合公司实际情况，同意本次计提资产减值准备。</w:t>
      </w:r>
    </w:p>
    <w:p w14:paraId="7299F8A4" w14:textId="77777777" w:rsidR="009D7C34" w:rsidRDefault="009D7C34" w:rsidP="00387411">
      <w:pPr>
        <w:pStyle w:val="Default"/>
        <w:spacing w:line="360" w:lineRule="auto"/>
        <w:ind w:firstLineChars="200" w:firstLine="480"/>
        <w:rPr>
          <w:rFonts w:hAnsi="宋体" w:hint="eastAsia"/>
        </w:rPr>
      </w:pPr>
    </w:p>
    <w:p w14:paraId="5BB8ED0E" w14:textId="5911F435" w:rsidR="008319AC" w:rsidRPr="003C09D7" w:rsidRDefault="008319AC" w:rsidP="00387411">
      <w:pPr>
        <w:pStyle w:val="Default"/>
        <w:spacing w:line="360" w:lineRule="auto"/>
        <w:ind w:firstLineChars="200" w:firstLine="480"/>
        <w:rPr>
          <w:rFonts w:hAnsi="宋体"/>
        </w:rPr>
      </w:pPr>
      <w:r w:rsidRPr="003C09D7">
        <w:rPr>
          <w:rFonts w:hAnsi="宋体"/>
        </w:rPr>
        <w:t>特此公告。</w:t>
      </w:r>
    </w:p>
    <w:p w14:paraId="606B27CC" w14:textId="2E2D3142" w:rsidR="008319AC" w:rsidRDefault="008319AC" w:rsidP="008319AC">
      <w:pPr>
        <w:adjustRightInd w:val="0"/>
        <w:snapToGrid w:val="0"/>
        <w:spacing w:line="560" w:lineRule="exact"/>
        <w:ind w:firstLineChars="200" w:firstLine="480"/>
        <w:jc w:val="right"/>
        <w:rPr>
          <w:rFonts w:ascii="宋体" w:hAnsi="宋体"/>
          <w:sz w:val="24"/>
        </w:rPr>
      </w:pPr>
    </w:p>
    <w:p w14:paraId="16C76EF2" w14:textId="77777777" w:rsidR="009D7C34" w:rsidRPr="003C09D7" w:rsidRDefault="009D7C34" w:rsidP="008319AC">
      <w:pPr>
        <w:adjustRightInd w:val="0"/>
        <w:snapToGrid w:val="0"/>
        <w:spacing w:line="560" w:lineRule="exact"/>
        <w:ind w:firstLineChars="200" w:firstLine="480"/>
        <w:jc w:val="right"/>
        <w:rPr>
          <w:rFonts w:ascii="宋体" w:hAnsi="宋体" w:hint="eastAsia"/>
          <w:sz w:val="24"/>
        </w:rPr>
      </w:pPr>
      <w:bookmarkStart w:id="0" w:name="_GoBack"/>
      <w:bookmarkEnd w:id="0"/>
    </w:p>
    <w:p w14:paraId="09E2A4AA" w14:textId="3395581D" w:rsidR="008319AC" w:rsidRPr="003C09D7" w:rsidRDefault="008319AC" w:rsidP="008319AC">
      <w:pPr>
        <w:adjustRightInd w:val="0"/>
        <w:snapToGrid w:val="0"/>
        <w:spacing w:line="560" w:lineRule="exact"/>
        <w:ind w:firstLineChars="200" w:firstLine="480"/>
        <w:jc w:val="right"/>
        <w:rPr>
          <w:rFonts w:ascii="宋体" w:hAnsi="宋体"/>
          <w:sz w:val="24"/>
        </w:rPr>
      </w:pPr>
      <w:r w:rsidRPr="003C09D7">
        <w:rPr>
          <w:rFonts w:ascii="宋体" w:hAnsi="宋体" w:hint="eastAsia"/>
          <w:sz w:val="24"/>
        </w:rPr>
        <w:t xml:space="preserve">  </w:t>
      </w:r>
      <w:r w:rsidR="00DD2519">
        <w:rPr>
          <w:rFonts w:ascii="宋体" w:hAnsi="宋体" w:hint="eastAsia"/>
          <w:color w:val="000000"/>
          <w:kern w:val="0"/>
          <w:sz w:val="24"/>
        </w:rPr>
        <w:t>倍加洁集团</w:t>
      </w:r>
      <w:r w:rsidRPr="003C09D7">
        <w:rPr>
          <w:rFonts w:ascii="宋体" w:hAnsi="宋体" w:hint="eastAsia"/>
          <w:sz w:val="24"/>
        </w:rPr>
        <w:t>股份有限公司董事会</w:t>
      </w:r>
    </w:p>
    <w:p w14:paraId="56D3C248" w14:textId="43CD0F16" w:rsidR="008319AC" w:rsidRPr="003C09D7" w:rsidRDefault="00DD2519" w:rsidP="008319AC">
      <w:pPr>
        <w:adjustRightInd w:val="0"/>
        <w:snapToGrid w:val="0"/>
        <w:spacing w:line="560" w:lineRule="exact"/>
        <w:ind w:firstLineChars="200" w:firstLine="480"/>
        <w:jc w:val="right"/>
        <w:rPr>
          <w:rFonts w:ascii="宋体" w:hAnsi="宋体"/>
          <w:sz w:val="24"/>
        </w:rPr>
      </w:pPr>
      <w:r>
        <w:rPr>
          <w:rFonts w:ascii="宋体" w:hAnsi="宋体" w:hint="eastAsia"/>
          <w:sz w:val="24"/>
        </w:rPr>
        <w:t>2025</w:t>
      </w:r>
      <w:r w:rsidR="008319AC" w:rsidRPr="003C09D7">
        <w:rPr>
          <w:rFonts w:ascii="宋体" w:hAnsi="宋体"/>
          <w:sz w:val="24"/>
        </w:rPr>
        <w:t>年</w:t>
      </w:r>
      <w:r>
        <w:rPr>
          <w:rFonts w:ascii="宋体" w:hAnsi="宋体" w:hint="eastAsia"/>
          <w:sz w:val="24"/>
        </w:rPr>
        <w:t>4</w:t>
      </w:r>
      <w:r w:rsidR="008319AC" w:rsidRPr="003C09D7">
        <w:rPr>
          <w:rFonts w:ascii="宋体" w:hAnsi="宋体"/>
          <w:sz w:val="24"/>
        </w:rPr>
        <w:t>月</w:t>
      </w:r>
      <w:r w:rsidR="00D06339">
        <w:rPr>
          <w:rFonts w:ascii="宋体" w:hAnsi="宋体"/>
          <w:sz w:val="24"/>
        </w:rPr>
        <w:t>30</w:t>
      </w:r>
      <w:r w:rsidR="008319AC" w:rsidRPr="003C09D7">
        <w:rPr>
          <w:rFonts w:ascii="宋体" w:hAnsi="宋体"/>
          <w:sz w:val="24"/>
        </w:rPr>
        <w:t>日</w:t>
      </w:r>
    </w:p>
    <w:sectPr w:rsidR="008319AC" w:rsidRPr="003C0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F6602" w14:textId="77777777" w:rsidR="0037343F" w:rsidRDefault="0037343F" w:rsidP="008319AC">
      <w:r>
        <w:separator/>
      </w:r>
    </w:p>
  </w:endnote>
  <w:endnote w:type="continuationSeparator" w:id="0">
    <w:p w14:paraId="5C04321A" w14:textId="77777777" w:rsidR="0037343F" w:rsidRDefault="0037343F" w:rsidP="0083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5F712" w14:textId="77777777" w:rsidR="0037343F" w:rsidRDefault="0037343F" w:rsidP="008319AC">
      <w:r>
        <w:separator/>
      </w:r>
    </w:p>
  </w:footnote>
  <w:footnote w:type="continuationSeparator" w:id="0">
    <w:p w14:paraId="1037661E" w14:textId="77777777" w:rsidR="0037343F" w:rsidRDefault="0037343F" w:rsidP="008319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55882"/>
    <w:multiLevelType w:val="hybridMultilevel"/>
    <w:tmpl w:val="5D867740"/>
    <w:lvl w:ilvl="0" w:tplc="BEEE662A">
      <w:start w:val="1"/>
      <w:numFmt w:val="decimal"/>
      <w:lvlText w:val="（%1）"/>
      <w:lvlJc w:val="left"/>
      <w:pPr>
        <w:ind w:left="1191" w:hanging="591"/>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abstractNum w:abstractNumId="1" w15:restartNumberingAfterBreak="0">
    <w:nsid w:val="5F852EA0"/>
    <w:multiLevelType w:val="hybridMultilevel"/>
    <w:tmpl w:val="FBD6F1A8"/>
    <w:lvl w:ilvl="0" w:tplc="04090001">
      <w:start w:val="1"/>
      <w:numFmt w:val="bullet"/>
      <w:lvlText w:val=""/>
      <w:lvlJc w:val="left"/>
      <w:pPr>
        <w:ind w:left="1460" w:hanging="440"/>
      </w:pPr>
      <w:rPr>
        <w:rFonts w:ascii="Wingdings" w:hAnsi="Wingdings" w:hint="default"/>
      </w:rPr>
    </w:lvl>
    <w:lvl w:ilvl="1" w:tplc="04090003" w:tentative="1">
      <w:start w:val="1"/>
      <w:numFmt w:val="bullet"/>
      <w:lvlText w:val=""/>
      <w:lvlJc w:val="left"/>
      <w:pPr>
        <w:ind w:left="1900" w:hanging="440"/>
      </w:pPr>
      <w:rPr>
        <w:rFonts w:ascii="Wingdings" w:hAnsi="Wingdings" w:hint="default"/>
      </w:rPr>
    </w:lvl>
    <w:lvl w:ilvl="2" w:tplc="04090005" w:tentative="1">
      <w:start w:val="1"/>
      <w:numFmt w:val="bullet"/>
      <w:lvlText w:val=""/>
      <w:lvlJc w:val="left"/>
      <w:pPr>
        <w:ind w:left="2340" w:hanging="440"/>
      </w:pPr>
      <w:rPr>
        <w:rFonts w:ascii="Wingdings" w:hAnsi="Wingdings" w:hint="default"/>
      </w:rPr>
    </w:lvl>
    <w:lvl w:ilvl="3" w:tplc="04090001" w:tentative="1">
      <w:start w:val="1"/>
      <w:numFmt w:val="bullet"/>
      <w:lvlText w:val=""/>
      <w:lvlJc w:val="left"/>
      <w:pPr>
        <w:ind w:left="2780" w:hanging="440"/>
      </w:pPr>
      <w:rPr>
        <w:rFonts w:ascii="Wingdings" w:hAnsi="Wingdings" w:hint="default"/>
      </w:rPr>
    </w:lvl>
    <w:lvl w:ilvl="4" w:tplc="04090003" w:tentative="1">
      <w:start w:val="1"/>
      <w:numFmt w:val="bullet"/>
      <w:lvlText w:val=""/>
      <w:lvlJc w:val="left"/>
      <w:pPr>
        <w:ind w:left="3220" w:hanging="440"/>
      </w:pPr>
      <w:rPr>
        <w:rFonts w:ascii="Wingdings" w:hAnsi="Wingdings" w:hint="default"/>
      </w:rPr>
    </w:lvl>
    <w:lvl w:ilvl="5" w:tplc="04090005" w:tentative="1">
      <w:start w:val="1"/>
      <w:numFmt w:val="bullet"/>
      <w:lvlText w:val=""/>
      <w:lvlJc w:val="left"/>
      <w:pPr>
        <w:ind w:left="3660" w:hanging="440"/>
      </w:pPr>
      <w:rPr>
        <w:rFonts w:ascii="Wingdings" w:hAnsi="Wingdings" w:hint="default"/>
      </w:rPr>
    </w:lvl>
    <w:lvl w:ilvl="6" w:tplc="04090001" w:tentative="1">
      <w:start w:val="1"/>
      <w:numFmt w:val="bullet"/>
      <w:lvlText w:val=""/>
      <w:lvlJc w:val="left"/>
      <w:pPr>
        <w:ind w:left="4100" w:hanging="440"/>
      </w:pPr>
      <w:rPr>
        <w:rFonts w:ascii="Wingdings" w:hAnsi="Wingdings" w:hint="default"/>
      </w:rPr>
    </w:lvl>
    <w:lvl w:ilvl="7" w:tplc="04090003" w:tentative="1">
      <w:start w:val="1"/>
      <w:numFmt w:val="bullet"/>
      <w:lvlText w:val=""/>
      <w:lvlJc w:val="left"/>
      <w:pPr>
        <w:ind w:left="4540" w:hanging="440"/>
      </w:pPr>
      <w:rPr>
        <w:rFonts w:ascii="Wingdings" w:hAnsi="Wingdings" w:hint="default"/>
      </w:rPr>
    </w:lvl>
    <w:lvl w:ilvl="8" w:tplc="04090005" w:tentative="1">
      <w:start w:val="1"/>
      <w:numFmt w:val="bullet"/>
      <w:lvlText w:val=""/>
      <w:lvlJc w:val="left"/>
      <w:pPr>
        <w:ind w:left="4980" w:hanging="440"/>
      </w:pPr>
      <w:rPr>
        <w:rFonts w:ascii="Wingdings" w:hAnsi="Wingdings" w:hint="default"/>
      </w:rPr>
    </w:lvl>
  </w:abstractNum>
  <w:abstractNum w:abstractNumId="2" w15:restartNumberingAfterBreak="0">
    <w:nsid w:val="74646B16"/>
    <w:multiLevelType w:val="multilevel"/>
    <w:tmpl w:val="74646B16"/>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92"/>
    <w:rsid w:val="0000774D"/>
    <w:rsid w:val="00025DC5"/>
    <w:rsid w:val="00076EB9"/>
    <w:rsid w:val="000B0C0E"/>
    <w:rsid w:val="000B40FB"/>
    <w:rsid w:val="00122141"/>
    <w:rsid w:val="00177E90"/>
    <w:rsid w:val="001B3ADE"/>
    <w:rsid w:val="001B72FF"/>
    <w:rsid w:val="001D45E6"/>
    <w:rsid w:val="001F2DC3"/>
    <w:rsid w:val="00210388"/>
    <w:rsid w:val="002326E6"/>
    <w:rsid w:val="00270818"/>
    <w:rsid w:val="0027457B"/>
    <w:rsid w:val="002E4AC1"/>
    <w:rsid w:val="00345B44"/>
    <w:rsid w:val="00352DD1"/>
    <w:rsid w:val="0037343F"/>
    <w:rsid w:val="00380143"/>
    <w:rsid w:val="00387411"/>
    <w:rsid w:val="003C09D7"/>
    <w:rsid w:val="003C43AF"/>
    <w:rsid w:val="003D7E20"/>
    <w:rsid w:val="00466794"/>
    <w:rsid w:val="00492C33"/>
    <w:rsid w:val="004C4F7D"/>
    <w:rsid w:val="004C5CCD"/>
    <w:rsid w:val="00556E92"/>
    <w:rsid w:val="005A24F9"/>
    <w:rsid w:val="005B2778"/>
    <w:rsid w:val="005C0A92"/>
    <w:rsid w:val="0061687F"/>
    <w:rsid w:val="0065301C"/>
    <w:rsid w:val="006D2867"/>
    <w:rsid w:val="00752989"/>
    <w:rsid w:val="00767BE2"/>
    <w:rsid w:val="007C5AE4"/>
    <w:rsid w:val="00830E88"/>
    <w:rsid w:val="008319AC"/>
    <w:rsid w:val="00860F43"/>
    <w:rsid w:val="00873276"/>
    <w:rsid w:val="008A0112"/>
    <w:rsid w:val="008A0CD1"/>
    <w:rsid w:val="00972C4D"/>
    <w:rsid w:val="00981D22"/>
    <w:rsid w:val="009D7C34"/>
    <w:rsid w:val="00A8260C"/>
    <w:rsid w:val="00AD1689"/>
    <w:rsid w:val="00B23F9D"/>
    <w:rsid w:val="00B64ACC"/>
    <w:rsid w:val="00BF1386"/>
    <w:rsid w:val="00CF245F"/>
    <w:rsid w:val="00D06339"/>
    <w:rsid w:val="00D55A8E"/>
    <w:rsid w:val="00D73AB9"/>
    <w:rsid w:val="00D9167B"/>
    <w:rsid w:val="00D92556"/>
    <w:rsid w:val="00DD2519"/>
    <w:rsid w:val="00E06DF6"/>
    <w:rsid w:val="00E14477"/>
    <w:rsid w:val="00E149B5"/>
    <w:rsid w:val="00E46F14"/>
    <w:rsid w:val="00E610C6"/>
    <w:rsid w:val="00E764AE"/>
    <w:rsid w:val="00EA3546"/>
    <w:rsid w:val="00F37643"/>
    <w:rsid w:val="00F45CB3"/>
    <w:rsid w:val="00F64E11"/>
    <w:rsid w:val="00F90A75"/>
    <w:rsid w:val="00F96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042DCE"/>
  <w15:chartTrackingRefBased/>
  <w15:docId w15:val="{650F528C-10C2-48B2-A99F-2F824BB01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9AC"/>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556E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E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E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E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E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E92"/>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E9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E9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56E9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E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E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E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E92"/>
    <w:rPr>
      <w:rFonts w:cstheme="majorBidi"/>
      <w:color w:val="2F5496" w:themeColor="accent1" w:themeShade="BF"/>
      <w:sz w:val="28"/>
      <w:szCs w:val="28"/>
    </w:rPr>
  </w:style>
  <w:style w:type="character" w:customStyle="1" w:styleId="50">
    <w:name w:val="标题 5 字符"/>
    <w:basedOn w:val="a0"/>
    <w:link w:val="5"/>
    <w:uiPriority w:val="9"/>
    <w:semiHidden/>
    <w:rsid w:val="00556E92"/>
    <w:rPr>
      <w:rFonts w:cstheme="majorBidi"/>
      <w:color w:val="2F5496" w:themeColor="accent1" w:themeShade="BF"/>
      <w:sz w:val="24"/>
    </w:rPr>
  </w:style>
  <w:style w:type="character" w:customStyle="1" w:styleId="60">
    <w:name w:val="标题 6 字符"/>
    <w:basedOn w:val="a0"/>
    <w:link w:val="6"/>
    <w:uiPriority w:val="9"/>
    <w:semiHidden/>
    <w:rsid w:val="00556E92"/>
    <w:rPr>
      <w:rFonts w:cstheme="majorBidi"/>
      <w:b/>
      <w:bCs/>
      <w:color w:val="2F5496" w:themeColor="accent1" w:themeShade="BF"/>
    </w:rPr>
  </w:style>
  <w:style w:type="character" w:customStyle="1" w:styleId="70">
    <w:name w:val="标题 7 字符"/>
    <w:basedOn w:val="a0"/>
    <w:link w:val="7"/>
    <w:uiPriority w:val="9"/>
    <w:semiHidden/>
    <w:rsid w:val="00556E92"/>
    <w:rPr>
      <w:rFonts w:cstheme="majorBidi"/>
      <w:b/>
      <w:bCs/>
      <w:color w:val="595959" w:themeColor="text1" w:themeTint="A6"/>
    </w:rPr>
  </w:style>
  <w:style w:type="character" w:customStyle="1" w:styleId="80">
    <w:name w:val="标题 8 字符"/>
    <w:basedOn w:val="a0"/>
    <w:link w:val="8"/>
    <w:uiPriority w:val="9"/>
    <w:semiHidden/>
    <w:rsid w:val="00556E92"/>
    <w:rPr>
      <w:rFonts w:cstheme="majorBidi"/>
      <w:color w:val="595959" w:themeColor="text1" w:themeTint="A6"/>
    </w:rPr>
  </w:style>
  <w:style w:type="character" w:customStyle="1" w:styleId="90">
    <w:name w:val="标题 9 字符"/>
    <w:basedOn w:val="a0"/>
    <w:link w:val="9"/>
    <w:uiPriority w:val="9"/>
    <w:semiHidden/>
    <w:rsid w:val="00556E92"/>
    <w:rPr>
      <w:rFonts w:eastAsiaTheme="majorEastAsia" w:cstheme="majorBidi"/>
      <w:color w:val="595959" w:themeColor="text1" w:themeTint="A6"/>
    </w:rPr>
  </w:style>
  <w:style w:type="paragraph" w:styleId="a3">
    <w:name w:val="Title"/>
    <w:basedOn w:val="a"/>
    <w:next w:val="a"/>
    <w:link w:val="a4"/>
    <w:uiPriority w:val="10"/>
    <w:qFormat/>
    <w:rsid w:val="00556E9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E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E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E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E92"/>
    <w:pPr>
      <w:spacing w:before="160"/>
      <w:jc w:val="center"/>
    </w:pPr>
    <w:rPr>
      <w:i/>
      <w:iCs/>
      <w:color w:val="404040" w:themeColor="text1" w:themeTint="BF"/>
    </w:rPr>
  </w:style>
  <w:style w:type="character" w:customStyle="1" w:styleId="a8">
    <w:name w:val="引用 字符"/>
    <w:basedOn w:val="a0"/>
    <w:link w:val="a7"/>
    <w:uiPriority w:val="29"/>
    <w:rsid w:val="00556E92"/>
    <w:rPr>
      <w:i/>
      <w:iCs/>
      <w:color w:val="404040" w:themeColor="text1" w:themeTint="BF"/>
    </w:rPr>
  </w:style>
  <w:style w:type="paragraph" w:styleId="a9">
    <w:name w:val="List Paragraph"/>
    <w:basedOn w:val="a"/>
    <w:uiPriority w:val="34"/>
    <w:qFormat/>
    <w:rsid w:val="00556E92"/>
    <w:pPr>
      <w:ind w:left="720"/>
      <w:contextualSpacing/>
    </w:pPr>
  </w:style>
  <w:style w:type="character" w:styleId="aa">
    <w:name w:val="Intense Emphasis"/>
    <w:basedOn w:val="a0"/>
    <w:uiPriority w:val="21"/>
    <w:qFormat/>
    <w:rsid w:val="00556E92"/>
    <w:rPr>
      <w:i/>
      <w:iCs/>
      <w:color w:val="2F5496" w:themeColor="accent1" w:themeShade="BF"/>
    </w:rPr>
  </w:style>
  <w:style w:type="paragraph" w:styleId="ab">
    <w:name w:val="Intense Quote"/>
    <w:basedOn w:val="a"/>
    <w:next w:val="a"/>
    <w:link w:val="ac"/>
    <w:uiPriority w:val="30"/>
    <w:qFormat/>
    <w:rsid w:val="00556E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E92"/>
    <w:rPr>
      <w:i/>
      <w:iCs/>
      <w:color w:val="2F5496" w:themeColor="accent1" w:themeShade="BF"/>
    </w:rPr>
  </w:style>
  <w:style w:type="character" w:styleId="ad">
    <w:name w:val="Intense Reference"/>
    <w:basedOn w:val="a0"/>
    <w:uiPriority w:val="32"/>
    <w:qFormat/>
    <w:rsid w:val="00556E92"/>
    <w:rPr>
      <w:b/>
      <w:bCs/>
      <w:smallCaps/>
      <w:color w:val="2F5496" w:themeColor="accent1" w:themeShade="BF"/>
      <w:spacing w:val="5"/>
    </w:rPr>
  </w:style>
  <w:style w:type="paragraph" w:styleId="ae">
    <w:name w:val="header"/>
    <w:basedOn w:val="a"/>
    <w:link w:val="af"/>
    <w:uiPriority w:val="99"/>
    <w:unhideWhenUsed/>
    <w:rsid w:val="008319AC"/>
    <w:pPr>
      <w:tabs>
        <w:tab w:val="center" w:pos="4153"/>
        <w:tab w:val="right" w:pos="8306"/>
      </w:tabs>
      <w:snapToGrid w:val="0"/>
      <w:jc w:val="center"/>
    </w:pPr>
    <w:rPr>
      <w:sz w:val="18"/>
      <w:szCs w:val="18"/>
    </w:rPr>
  </w:style>
  <w:style w:type="character" w:customStyle="1" w:styleId="af">
    <w:name w:val="页眉 字符"/>
    <w:basedOn w:val="a0"/>
    <w:link w:val="ae"/>
    <w:uiPriority w:val="99"/>
    <w:rsid w:val="008319AC"/>
    <w:rPr>
      <w:sz w:val="18"/>
      <w:szCs w:val="18"/>
    </w:rPr>
  </w:style>
  <w:style w:type="paragraph" w:styleId="af0">
    <w:name w:val="footer"/>
    <w:basedOn w:val="a"/>
    <w:link w:val="af1"/>
    <w:uiPriority w:val="99"/>
    <w:unhideWhenUsed/>
    <w:rsid w:val="008319AC"/>
    <w:pPr>
      <w:tabs>
        <w:tab w:val="center" w:pos="4153"/>
        <w:tab w:val="right" w:pos="8306"/>
      </w:tabs>
      <w:snapToGrid w:val="0"/>
    </w:pPr>
    <w:rPr>
      <w:sz w:val="18"/>
      <w:szCs w:val="18"/>
    </w:rPr>
  </w:style>
  <w:style w:type="character" w:customStyle="1" w:styleId="af1">
    <w:name w:val="页脚 字符"/>
    <w:basedOn w:val="a0"/>
    <w:link w:val="af0"/>
    <w:uiPriority w:val="99"/>
    <w:rsid w:val="008319AC"/>
    <w:rPr>
      <w:sz w:val="18"/>
      <w:szCs w:val="18"/>
    </w:rPr>
  </w:style>
  <w:style w:type="table" w:styleId="af2">
    <w:name w:val="Table Grid"/>
    <w:basedOn w:val="a1"/>
    <w:uiPriority w:val="39"/>
    <w:rsid w:val="00F90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2DD1"/>
    <w:pPr>
      <w:widowControl w:val="0"/>
      <w:autoSpaceDE w:val="0"/>
      <w:autoSpaceDN w:val="0"/>
      <w:adjustRightInd w:val="0"/>
      <w:spacing w:after="0" w:line="240" w:lineRule="auto"/>
    </w:pPr>
    <w:rPr>
      <w:rFonts w:ascii="宋体" w:eastAsia="宋体" w:hAnsi="Calibri" w:cs="宋体"/>
      <w:color w:val="000000"/>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3</Pages>
  <Words>983</Words>
  <Characters>1073</Characters>
  <Application>Microsoft Office Word</Application>
  <DocSecurity>0</DocSecurity>
  <Lines>119</Lines>
  <Paragraphs>137</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yezeqiut@126.com</dc:creator>
  <cp:keywords/>
  <dc:description/>
  <cp:lastModifiedBy>孙彬</cp:lastModifiedBy>
  <cp:revision>68</cp:revision>
  <dcterms:created xsi:type="dcterms:W3CDTF">2025-04-14T00:01:00Z</dcterms:created>
  <dcterms:modified xsi:type="dcterms:W3CDTF">2025-04-25T07:57:00Z</dcterms:modified>
</cp:coreProperties>
</file>